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08" w:type="dxa"/>
        <w:tblInd w:w="708" w:type="dxa"/>
        <w:tblCellMar>
          <w:left w:w="0" w:type="dxa"/>
          <w:right w:w="0" w:type="dxa"/>
        </w:tblCellMar>
        <w:tblLook w:val="0000" w:firstRow="0" w:lastRow="0" w:firstColumn="0" w:lastColumn="0" w:noHBand="0" w:noVBand="0"/>
      </w:tblPr>
      <w:tblGrid>
        <w:gridCol w:w="6600"/>
        <w:gridCol w:w="1440"/>
        <w:gridCol w:w="1668"/>
      </w:tblGrid>
      <w:tr w:rsidR="00000000">
        <w:tc>
          <w:tcPr>
            <w:tcW w:w="6600" w:type="dxa"/>
            <w:tcMar>
              <w:top w:w="0" w:type="dxa"/>
              <w:left w:w="108" w:type="dxa"/>
              <w:bottom w:w="0" w:type="dxa"/>
              <w:right w:w="108" w:type="dxa"/>
            </w:tcMar>
          </w:tcPr>
          <w:p w:rsidR="00000000" w:rsidRDefault="00DD1D9C">
            <w:pPr>
              <w:pStyle w:val="NormalWeb"/>
              <w:spacing w:before="0" w:beforeAutospacing="0" w:after="0" w:afterAutospacing="0"/>
            </w:pPr>
            <w:r>
              <w:rPr>
                <w:sz w:val="20"/>
                <w:szCs w:val="20"/>
              </w:rPr>
              <w:t>REPUBLIKA  HRVATSKA</w:t>
            </w:r>
          </w:p>
          <w:p w:rsidR="00000000" w:rsidRDefault="00DD1D9C">
            <w:pPr>
              <w:pStyle w:val="NormalWeb"/>
              <w:spacing w:before="0" w:beforeAutospacing="0" w:after="0" w:afterAutospacing="0"/>
              <w:rPr>
                <w:sz w:val="20"/>
                <w:szCs w:val="20"/>
              </w:rPr>
            </w:pPr>
            <w:r>
              <w:rPr>
                <w:sz w:val="20"/>
                <w:szCs w:val="20"/>
              </w:rPr>
              <w:t>Međimurska županija</w:t>
            </w:r>
          </w:p>
          <w:p w:rsidR="00000000" w:rsidRDefault="00DD1D9C">
            <w:pPr>
              <w:pStyle w:val="NormalWeb"/>
              <w:spacing w:before="0" w:beforeAutospacing="0" w:after="0" w:afterAutospacing="0"/>
            </w:pPr>
            <w:r>
              <w:rPr>
                <w:sz w:val="20"/>
                <w:szCs w:val="20"/>
              </w:rPr>
              <w:t>Općina Dekanovec</w:t>
            </w:r>
            <w:r>
              <w:rPr>
                <w:bCs/>
                <w:sz w:val="20"/>
                <w:szCs w:val="20"/>
              </w:rPr>
              <w:t xml:space="preserve">         </w:t>
            </w:r>
          </w:p>
        </w:tc>
        <w:tc>
          <w:tcPr>
            <w:tcW w:w="1440" w:type="dxa"/>
            <w:tcMar>
              <w:top w:w="0" w:type="dxa"/>
              <w:left w:w="108" w:type="dxa"/>
              <w:bottom w:w="0" w:type="dxa"/>
              <w:right w:w="108" w:type="dxa"/>
            </w:tcMar>
          </w:tcPr>
          <w:p w:rsidR="00000000" w:rsidRDefault="00DD1D9C">
            <w:pPr>
              <w:pStyle w:val="NormalWeb"/>
              <w:spacing w:before="0" w:beforeAutospacing="0" w:after="0" w:afterAutospacing="0"/>
            </w:pPr>
            <w:r>
              <w:rPr>
                <w:sz w:val="20"/>
                <w:szCs w:val="20"/>
              </w:rPr>
              <w:t> </w:t>
            </w:r>
          </w:p>
          <w:p w:rsidR="00000000" w:rsidRDefault="00DD1D9C">
            <w:pPr>
              <w:pStyle w:val="NormalWeb"/>
              <w:spacing w:before="0" w:beforeAutospacing="0" w:after="0" w:afterAutospacing="0"/>
            </w:pPr>
            <w:r>
              <w:rPr>
                <w:sz w:val="20"/>
                <w:szCs w:val="20"/>
              </w:rPr>
              <w:t> </w:t>
            </w:r>
          </w:p>
          <w:p w:rsidR="00000000" w:rsidRDefault="00DD1D9C">
            <w:pPr>
              <w:pStyle w:val="NormalWeb"/>
              <w:spacing w:before="0" w:beforeAutospacing="0" w:after="0" w:afterAutospacing="0"/>
            </w:pPr>
            <w:r>
              <w:rPr>
                <w:sz w:val="20"/>
                <w:szCs w:val="20"/>
              </w:rPr>
              <w:t>Razina</w:t>
            </w:r>
          </w:p>
        </w:tc>
        <w:tc>
          <w:tcPr>
            <w:tcW w:w="1668" w:type="dxa"/>
            <w:tcBorders>
              <w:bottom w:val="single" w:sz="4" w:space="0" w:color="000000"/>
            </w:tcBorders>
            <w:tcMar>
              <w:top w:w="0" w:type="dxa"/>
              <w:left w:w="108" w:type="dxa"/>
              <w:bottom w:w="0" w:type="dxa"/>
              <w:right w:w="108" w:type="dxa"/>
            </w:tcMar>
          </w:tcPr>
          <w:p w:rsidR="00000000" w:rsidRDefault="00DD1D9C">
            <w:pPr>
              <w:pStyle w:val="NormalWeb"/>
              <w:spacing w:before="0" w:beforeAutospacing="0" w:after="0" w:afterAutospacing="0"/>
              <w:jc w:val="right"/>
            </w:pPr>
            <w:r>
              <w:rPr>
                <w:sz w:val="20"/>
                <w:szCs w:val="20"/>
              </w:rPr>
              <w:t> </w:t>
            </w:r>
          </w:p>
          <w:p w:rsidR="00000000" w:rsidRDefault="00DD1D9C">
            <w:pPr>
              <w:pStyle w:val="NormalWeb"/>
              <w:spacing w:before="0" w:beforeAutospacing="0" w:after="0" w:afterAutospacing="0"/>
              <w:jc w:val="right"/>
            </w:pPr>
            <w:r>
              <w:rPr>
                <w:sz w:val="20"/>
                <w:szCs w:val="20"/>
              </w:rPr>
              <w:t> </w:t>
            </w:r>
          </w:p>
          <w:p w:rsidR="00000000" w:rsidRDefault="00DD1D9C">
            <w:pPr>
              <w:pStyle w:val="NormalWeb"/>
              <w:spacing w:before="0" w:beforeAutospacing="0" w:after="0" w:afterAutospacing="0"/>
              <w:jc w:val="right"/>
            </w:pPr>
            <w:r>
              <w:rPr>
                <w:sz w:val="20"/>
                <w:szCs w:val="20"/>
              </w:rPr>
              <w:t>22</w:t>
            </w:r>
          </w:p>
        </w:tc>
      </w:tr>
      <w:tr w:rsidR="00000000">
        <w:tc>
          <w:tcPr>
            <w:tcW w:w="6600" w:type="dxa"/>
            <w:tcMar>
              <w:top w:w="0" w:type="dxa"/>
              <w:left w:w="108" w:type="dxa"/>
              <w:bottom w:w="0" w:type="dxa"/>
              <w:right w:w="108" w:type="dxa"/>
            </w:tcMar>
          </w:tcPr>
          <w:p w:rsidR="00000000" w:rsidRDefault="00DD1D9C">
            <w:pPr>
              <w:pStyle w:val="NormalWeb"/>
              <w:spacing w:before="0" w:beforeAutospacing="0" w:after="0" w:afterAutospacing="0"/>
            </w:pPr>
            <w:r>
              <w:rPr>
                <w:sz w:val="20"/>
                <w:szCs w:val="20"/>
              </w:rPr>
              <w:t> </w:t>
            </w:r>
          </w:p>
          <w:p w:rsidR="00000000" w:rsidRDefault="00DD1D9C">
            <w:pPr>
              <w:pStyle w:val="NormalWeb"/>
              <w:spacing w:before="0" w:beforeAutospacing="0" w:after="0" w:afterAutospacing="0"/>
              <w:rPr>
                <w:b/>
                <w:bCs/>
              </w:rPr>
            </w:pPr>
            <w:r>
              <w:rPr>
                <w:sz w:val="20"/>
                <w:szCs w:val="20"/>
              </w:rPr>
              <w:t xml:space="preserve">AKT: </w:t>
            </w:r>
            <w:r>
              <w:rPr>
                <w:b/>
                <w:bCs/>
                <w:sz w:val="20"/>
                <w:szCs w:val="20"/>
              </w:rPr>
              <w:t>POLUGODIŠNJI IZVJEŠTAJ O IZVRŠENJU PRORAČUNA</w:t>
            </w:r>
          </w:p>
          <w:p w:rsidR="00000000" w:rsidRDefault="00DD1D9C">
            <w:pPr>
              <w:pStyle w:val="NormalWeb"/>
              <w:spacing w:before="0" w:beforeAutospacing="0" w:after="0" w:afterAutospacing="0"/>
            </w:pPr>
            <w:r>
              <w:rPr>
                <w:b/>
                <w:bCs/>
                <w:sz w:val="20"/>
                <w:szCs w:val="20"/>
              </w:rPr>
              <w:t>         ZA 2017.GODINU</w:t>
            </w:r>
          </w:p>
        </w:tc>
        <w:tc>
          <w:tcPr>
            <w:tcW w:w="1440" w:type="dxa"/>
            <w:tcMar>
              <w:top w:w="0" w:type="dxa"/>
              <w:left w:w="108" w:type="dxa"/>
              <w:bottom w:w="0" w:type="dxa"/>
              <w:right w:w="108" w:type="dxa"/>
            </w:tcMar>
          </w:tcPr>
          <w:p w:rsidR="00000000" w:rsidRDefault="00DD1D9C">
            <w:pPr>
              <w:pStyle w:val="NormalWeb"/>
              <w:spacing w:before="0" w:beforeAutospacing="0" w:after="0" w:afterAutospacing="0"/>
            </w:pPr>
            <w:r>
              <w:rPr>
                <w:sz w:val="20"/>
                <w:szCs w:val="20"/>
              </w:rPr>
              <w:t> </w:t>
            </w:r>
          </w:p>
          <w:p w:rsidR="00000000" w:rsidRDefault="00DD1D9C">
            <w:pPr>
              <w:pStyle w:val="NormalWeb"/>
              <w:spacing w:before="0" w:beforeAutospacing="0" w:after="0" w:afterAutospacing="0"/>
            </w:pPr>
            <w:r>
              <w:rPr>
                <w:sz w:val="20"/>
                <w:szCs w:val="20"/>
              </w:rPr>
              <w:t>RKDP</w:t>
            </w:r>
          </w:p>
        </w:tc>
        <w:tc>
          <w:tcPr>
            <w:tcW w:w="1668" w:type="dxa"/>
            <w:tcBorders>
              <w:top w:val="single" w:sz="4" w:space="0" w:color="000000"/>
              <w:bottom w:val="single" w:sz="4" w:space="0" w:color="000000"/>
            </w:tcBorders>
            <w:tcMar>
              <w:top w:w="0" w:type="dxa"/>
              <w:left w:w="108" w:type="dxa"/>
              <w:bottom w:w="0" w:type="dxa"/>
              <w:right w:w="108" w:type="dxa"/>
            </w:tcMar>
          </w:tcPr>
          <w:p w:rsidR="00000000" w:rsidRDefault="00DD1D9C">
            <w:pPr>
              <w:pStyle w:val="NormalWeb"/>
              <w:spacing w:before="0" w:beforeAutospacing="0" w:after="0" w:afterAutospacing="0"/>
              <w:jc w:val="right"/>
            </w:pPr>
            <w:r>
              <w:rPr>
                <w:sz w:val="20"/>
                <w:szCs w:val="20"/>
              </w:rPr>
              <w:t> </w:t>
            </w:r>
          </w:p>
          <w:p w:rsidR="00000000" w:rsidRDefault="00DD1D9C">
            <w:pPr>
              <w:pStyle w:val="NormalWeb"/>
              <w:spacing w:before="0" w:beforeAutospacing="0" w:after="0" w:afterAutospacing="0"/>
              <w:jc w:val="right"/>
            </w:pPr>
            <w:r>
              <w:rPr>
                <w:sz w:val="20"/>
                <w:szCs w:val="20"/>
              </w:rPr>
              <w:t>32867</w:t>
            </w:r>
          </w:p>
        </w:tc>
      </w:tr>
      <w:tr w:rsidR="00000000">
        <w:tc>
          <w:tcPr>
            <w:tcW w:w="6600" w:type="dxa"/>
            <w:tcMar>
              <w:top w:w="0" w:type="dxa"/>
              <w:left w:w="108" w:type="dxa"/>
              <w:bottom w:w="0" w:type="dxa"/>
              <w:right w:w="108" w:type="dxa"/>
            </w:tcMar>
          </w:tcPr>
          <w:p w:rsidR="00000000" w:rsidRDefault="00DD1D9C">
            <w:pPr>
              <w:pStyle w:val="NormalWeb"/>
              <w:spacing w:before="0" w:beforeAutospacing="0" w:after="0" w:afterAutospacing="0"/>
            </w:pPr>
            <w:r>
              <w:rPr>
                <w:bCs/>
                <w:sz w:val="20"/>
                <w:szCs w:val="20"/>
              </w:rPr>
              <w:t> </w:t>
            </w:r>
          </w:p>
          <w:p w:rsidR="00000000" w:rsidRDefault="00DD1D9C">
            <w:pPr>
              <w:pStyle w:val="NormalWeb"/>
              <w:spacing w:before="0" w:beforeAutospacing="0" w:after="0" w:afterAutospacing="0"/>
            </w:pPr>
            <w:r>
              <w:rPr>
                <w:sz w:val="20"/>
                <w:szCs w:val="20"/>
              </w:rPr>
              <w:t>Zakon o proračunu (NN 87/08,136/12,15/15) članak 108. stavak 1. točka 6</w:t>
            </w:r>
          </w:p>
        </w:tc>
        <w:tc>
          <w:tcPr>
            <w:tcW w:w="1440" w:type="dxa"/>
            <w:tcMar>
              <w:top w:w="0" w:type="dxa"/>
              <w:left w:w="108" w:type="dxa"/>
              <w:bottom w:w="0" w:type="dxa"/>
              <w:right w:w="108" w:type="dxa"/>
            </w:tcMar>
          </w:tcPr>
          <w:p w:rsidR="00000000" w:rsidRDefault="00DD1D9C">
            <w:pPr>
              <w:pStyle w:val="NormalWeb"/>
              <w:spacing w:before="0" w:beforeAutospacing="0" w:after="0" w:afterAutospacing="0"/>
            </w:pPr>
            <w:r>
              <w:rPr>
                <w:sz w:val="20"/>
                <w:szCs w:val="20"/>
              </w:rPr>
              <w:t> </w:t>
            </w:r>
          </w:p>
          <w:p w:rsidR="00000000" w:rsidRDefault="00DD1D9C">
            <w:pPr>
              <w:pStyle w:val="NormalWeb"/>
              <w:spacing w:before="0" w:beforeAutospacing="0" w:after="0" w:afterAutospacing="0"/>
            </w:pPr>
            <w:r>
              <w:rPr>
                <w:sz w:val="20"/>
                <w:szCs w:val="20"/>
              </w:rPr>
              <w:t>Mat</w:t>
            </w:r>
            <w:r>
              <w:rPr>
                <w:sz w:val="20"/>
                <w:szCs w:val="20"/>
              </w:rPr>
              <w:t>ični broj</w:t>
            </w:r>
          </w:p>
          <w:p w:rsidR="00000000" w:rsidRDefault="00DD1D9C">
            <w:pPr>
              <w:pStyle w:val="NormalWeb"/>
              <w:spacing w:before="0" w:beforeAutospacing="0" w:after="0" w:afterAutospacing="0"/>
            </w:pPr>
            <w:r>
              <w:rPr>
                <w:sz w:val="20"/>
                <w:szCs w:val="20"/>
              </w:rPr>
              <w:t>OIB</w:t>
            </w:r>
          </w:p>
        </w:tc>
        <w:tc>
          <w:tcPr>
            <w:tcW w:w="1668" w:type="dxa"/>
            <w:tcBorders>
              <w:top w:val="single" w:sz="4" w:space="0" w:color="000000"/>
              <w:bottom w:val="single" w:sz="4" w:space="0" w:color="000000"/>
            </w:tcBorders>
            <w:tcMar>
              <w:top w:w="0" w:type="dxa"/>
              <w:left w:w="108" w:type="dxa"/>
              <w:bottom w:w="0" w:type="dxa"/>
              <w:right w:w="108" w:type="dxa"/>
            </w:tcMar>
          </w:tcPr>
          <w:p w:rsidR="00000000" w:rsidRDefault="00DD1D9C">
            <w:pPr>
              <w:pStyle w:val="NormalWeb"/>
              <w:spacing w:before="0" w:beforeAutospacing="0" w:after="0" w:afterAutospacing="0"/>
              <w:jc w:val="right"/>
            </w:pPr>
            <w:r>
              <w:rPr>
                <w:bCs/>
                <w:sz w:val="20"/>
                <w:szCs w:val="20"/>
              </w:rPr>
              <w:t> </w:t>
            </w:r>
          </w:p>
          <w:p w:rsidR="00000000" w:rsidRDefault="00DD1D9C">
            <w:pPr>
              <w:pStyle w:val="NormalWeb"/>
              <w:spacing w:before="0" w:beforeAutospacing="0" w:after="0" w:afterAutospacing="0"/>
              <w:jc w:val="right"/>
            </w:pPr>
            <w:r>
              <w:rPr>
                <w:bCs/>
                <w:sz w:val="20"/>
                <w:szCs w:val="20"/>
              </w:rPr>
              <w:t>02582236</w:t>
            </w:r>
          </w:p>
          <w:p w:rsidR="00000000" w:rsidRDefault="00DD1D9C">
            <w:pPr>
              <w:pStyle w:val="NormalWeb"/>
              <w:spacing w:before="0" w:beforeAutospacing="0" w:after="0" w:afterAutospacing="0"/>
              <w:jc w:val="right"/>
            </w:pPr>
            <w:r>
              <w:rPr>
                <w:bCs/>
                <w:sz w:val="20"/>
                <w:szCs w:val="20"/>
              </w:rPr>
              <w:t>34666892913</w:t>
            </w:r>
          </w:p>
        </w:tc>
      </w:tr>
      <w:tr w:rsidR="00000000">
        <w:tc>
          <w:tcPr>
            <w:tcW w:w="6600" w:type="dxa"/>
            <w:tcMar>
              <w:top w:w="0" w:type="dxa"/>
              <w:left w:w="108" w:type="dxa"/>
              <w:bottom w:w="0" w:type="dxa"/>
              <w:right w:w="108" w:type="dxa"/>
            </w:tcMar>
          </w:tcPr>
          <w:p w:rsidR="00000000" w:rsidRDefault="00DD1D9C">
            <w:pPr>
              <w:pStyle w:val="NormalWeb"/>
              <w:spacing w:before="0" w:beforeAutospacing="0" w:after="0" w:afterAutospacing="0"/>
            </w:pPr>
            <w:r>
              <w:rPr>
                <w:bCs/>
                <w:sz w:val="20"/>
                <w:szCs w:val="20"/>
              </w:rPr>
              <w:t> </w:t>
            </w:r>
          </w:p>
        </w:tc>
        <w:tc>
          <w:tcPr>
            <w:tcW w:w="1440" w:type="dxa"/>
            <w:tcMar>
              <w:top w:w="0" w:type="dxa"/>
              <w:left w:w="108" w:type="dxa"/>
              <w:bottom w:w="0" w:type="dxa"/>
              <w:right w:w="108" w:type="dxa"/>
            </w:tcMar>
          </w:tcPr>
          <w:p w:rsidR="00000000" w:rsidRDefault="00DD1D9C">
            <w:pPr>
              <w:pStyle w:val="NormalWeb"/>
              <w:spacing w:before="0" w:beforeAutospacing="0" w:after="0" w:afterAutospacing="0"/>
            </w:pPr>
            <w:r>
              <w:rPr>
                <w:sz w:val="20"/>
                <w:szCs w:val="20"/>
              </w:rPr>
              <w:t> </w:t>
            </w:r>
          </w:p>
          <w:p w:rsidR="00000000" w:rsidRDefault="00DD1D9C">
            <w:pPr>
              <w:pStyle w:val="NormalWeb"/>
              <w:spacing w:before="0" w:beforeAutospacing="0" w:after="0" w:afterAutospacing="0"/>
            </w:pPr>
            <w:r>
              <w:rPr>
                <w:sz w:val="20"/>
                <w:szCs w:val="20"/>
              </w:rPr>
              <w:t>Žiro račun</w:t>
            </w:r>
          </w:p>
        </w:tc>
        <w:tc>
          <w:tcPr>
            <w:tcW w:w="1668" w:type="dxa"/>
            <w:tcBorders>
              <w:top w:val="single" w:sz="4" w:space="0" w:color="000000"/>
              <w:bottom w:val="single" w:sz="4" w:space="0" w:color="000000"/>
            </w:tcBorders>
            <w:tcMar>
              <w:top w:w="0" w:type="dxa"/>
              <w:left w:w="108" w:type="dxa"/>
              <w:bottom w:w="0" w:type="dxa"/>
              <w:right w:w="108" w:type="dxa"/>
            </w:tcMar>
          </w:tcPr>
          <w:p w:rsidR="00000000" w:rsidRDefault="00DD1D9C">
            <w:pPr>
              <w:pStyle w:val="NormalWeb"/>
              <w:spacing w:before="0" w:beforeAutospacing="0" w:after="0" w:afterAutospacing="0"/>
              <w:jc w:val="right"/>
            </w:pPr>
            <w:r>
              <w:rPr>
                <w:bCs/>
                <w:sz w:val="20"/>
                <w:szCs w:val="20"/>
              </w:rPr>
              <w:t> </w:t>
            </w:r>
          </w:p>
          <w:p w:rsidR="00000000" w:rsidRDefault="00DD1D9C">
            <w:pPr>
              <w:pStyle w:val="NormalWeb"/>
              <w:spacing w:before="0" w:beforeAutospacing="0" w:after="0" w:afterAutospacing="0"/>
              <w:jc w:val="right"/>
            </w:pPr>
            <w:r>
              <w:rPr>
                <w:bCs/>
                <w:sz w:val="20"/>
                <w:szCs w:val="20"/>
              </w:rPr>
              <w:t>2340009-1860300002</w:t>
            </w:r>
          </w:p>
        </w:tc>
      </w:tr>
    </w:tbl>
    <w:p w:rsidR="00000000" w:rsidRDefault="00DD1D9C">
      <w:pPr>
        <w:pStyle w:val="NormalWeb"/>
        <w:spacing w:before="0" w:beforeAutospacing="0" w:after="0" w:afterAutospacing="0"/>
        <w:ind w:left="600"/>
        <w:rPr>
          <w:b/>
        </w:rPr>
      </w:pPr>
    </w:p>
    <w:p w:rsidR="00000000" w:rsidRDefault="00DD1D9C">
      <w:pPr>
        <w:pStyle w:val="NormalWeb"/>
        <w:spacing w:before="0" w:beforeAutospacing="0" w:after="0" w:afterAutospacing="0"/>
        <w:ind w:left="600"/>
        <w:rPr>
          <w:b/>
        </w:rPr>
      </w:pPr>
    </w:p>
    <w:p w:rsidR="00000000" w:rsidRDefault="00DD1D9C">
      <w:pPr>
        <w:pStyle w:val="NormalWeb"/>
        <w:spacing w:before="0" w:beforeAutospacing="0" w:after="0" w:afterAutospacing="0"/>
        <w:ind w:left="600"/>
        <w:jc w:val="center"/>
        <w:rPr>
          <w:b/>
          <w:sz w:val="26"/>
          <w:szCs w:val="26"/>
          <w:u w:val="single"/>
        </w:rPr>
      </w:pPr>
      <w:r>
        <w:rPr>
          <w:b/>
          <w:sz w:val="26"/>
          <w:szCs w:val="26"/>
          <w:u w:val="single"/>
        </w:rPr>
        <w:t xml:space="preserve">OBRAZLOŽENJE OSTVARENJA PRIHODA I PRIMITAKA, </w:t>
      </w:r>
    </w:p>
    <w:p w:rsidR="00000000" w:rsidRDefault="00DD1D9C">
      <w:pPr>
        <w:pStyle w:val="NormalWeb"/>
        <w:spacing w:before="0" w:beforeAutospacing="0" w:after="0" w:afterAutospacing="0"/>
        <w:ind w:left="600"/>
        <w:jc w:val="center"/>
        <w:rPr>
          <w:b/>
          <w:sz w:val="26"/>
          <w:szCs w:val="26"/>
          <w:u w:val="single"/>
        </w:rPr>
      </w:pPr>
      <w:r>
        <w:rPr>
          <w:b/>
          <w:sz w:val="26"/>
          <w:szCs w:val="26"/>
          <w:u w:val="single"/>
        </w:rPr>
        <w:t>RASHODA I IZDATAKA</w:t>
      </w:r>
    </w:p>
    <w:p w:rsidR="00000000" w:rsidRDefault="00DD1D9C">
      <w:pPr>
        <w:pStyle w:val="NormalWeb"/>
        <w:spacing w:before="0" w:beforeAutospacing="0" w:after="0" w:afterAutospacing="0"/>
        <w:ind w:left="600"/>
        <w:jc w:val="center"/>
        <w:rPr>
          <w:b/>
          <w:sz w:val="26"/>
          <w:szCs w:val="26"/>
          <w:u w:val="single"/>
        </w:rPr>
      </w:pPr>
      <w:r>
        <w:rPr>
          <w:b/>
          <w:sz w:val="26"/>
          <w:szCs w:val="26"/>
          <w:u w:val="single"/>
        </w:rPr>
        <w:t>ZA RAZDOBLJE 01.01.-30.06.2017</w:t>
      </w:r>
      <w:bookmarkStart w:id="0" w:name="_GoBack"/>
      <w:bookmarkEnd w:id="0"/>
    </w:p>
    <w:p w:rsidR="00000000" w:rsidRDefault="00DD1D9C">
      <w:pPr>
        <w:pStyle w:val="NormalWeb"/>
        <w:spacing w:before="0" w:beforeAutospacing="0" w:after="0" w:afterAutospacing="0"/>
        <w:ind w:left="600"/>
        <w:jc w:val="center"/>
        <w:rPr>
          <w:b/>
          <w:sz w:val="26"/>
          <w:szCs w:val="26"/>
          <w:u w:val="single"/>
        </w:rPr>
      </w:pPr>
    </w:p>
    <w:p w:rsidR="00000000" w:rsidRDefault="00DD1D9C">
      <w:pPr>
        <w:pStyle w:val="NormalWeb"/>
        <w:spacing w:before="0" w:beforeAutospacing="0" w:after="0" w:afterAutospacing="0"/>
        <w:ind w:left="600"/>
        <w:rPr>
          <w:b/>
          <w:u w:val="single"/>
        </w:rPr>
      </w:pPr>
      <w:r>
        <w:tab/>
        <w:t>Odredbom članka 109. Zakona o proračunu („Narodne novine“ broj 87/08 i 136/12, 15</w:t>
      </w:r>
      <w:r>
        <w:t>/15)</w:t>
      </w:r>
    </w:p>
    <w:p w:rsidR="00000000" w:rsidRDefault="00DD1D9C">
      <w:pPr>
        <w:jc w:val="both"/>
      </w:pPr>
      <w:r>
        <w:t xml:space="preserve">utvrđena je obveza upravnog tijela zaduženog za financije da podnese načelniku polugodišnji izvještaj o izvršenju proračuna za prvo polugodište tekuće proračunske godine do 5. rujna proračunske godine, a načelnik je u obvezi da podnese predstavničkom </w:t>
      </w:r>
      <w:r>
        <w:t xml:space="preserve">tijelu, na donošenje polugodišnji izvještaj o izvršenju proračuna do 15. rujna tekuće proračunske godine. </w:t>
      </w:r>
    </w:p>
    <w:p w:rsidR="00000000" w:rsidRDefault="00DD1D9C">
      <w:pPr>
        <w:jc w:val="both"/>
      </w:pPr>
      <w:r>
        <w:tab/>
        <w:t>Sadržaj polugodišnjeg izvještaja o izvršenju proračuna propisan je člankom 108. Zakona o proračunu i člankom 4. Pravilnika o polugodišnjem i godišnj</w:t>
      </w:r>
      <w:r>
        <w:t>em izvještaju o izvršenju proračuna („Narodne novine“ broj 24/13) te isti obuhvaća:</w:t>
      </w:r>
    </w:p>
    <w:p w:rsidR="00000000" w:rsidRDefault="00DD1D9C">
      <w:pPr>
        <w:jc w:val="both"/>
      </w:pPr>
    </w:p>
    <w:p w:rsidR="00000000" w:rsidRDefault="00DD1D9C">
      <w:pPr>
        <w:autoSpaceDE w:val="0"/>
        <w:autoSpaceDN w:val="0"/>
        <w:adjustRightInd w:val="0"/>
      </w:pPr>
      <w:r>
        <w:tab/>
        <w:t>1. Opći dio proračuna koji čini Račun prihoda i rashoda i Račun financiranja na razini</w:t>
      </w:r>
    </w:p>
    <w:p w:rsidR="00000000" w:rsidRDefault="00DD1D9C">
      <w:pPr>
        <w:autoSpaceDE w:val="0"/>
        <w:autoSpaceDN w:val="0"/>
        <w:adjustRightInd w:val="0"/>
      </w:pPr>
      <w:r>
        <w:tab/>
        <w:t xml:space="preserve">    odjeljka ekonomske klasifikacije</w:t>
      </w:r>
    </w:p>
    <w:p w:rsidR="00000000" w:rsidRDefault="00DD1D9C">
      <w:pPr>
        <w:autoSpaceDE w:val="0"/>
        <w:autoSpaceDN w:val="0"/>
        <w:adjustRightInd w:val="0"/>
        <w:jc w:val="both"/>
      </w:pPr>
      <w:r>
        <w:tab/>
        <w:t xml:space="preserve">2. Posebni dio proračuna po organizacijskoj </w:t>
      </w:r>
      <w:r>
        <w:t>i programskoj klasifikaciji na razini odjeljka</w:t>
      </w:r>
    </w:p>
    <w:p w:rsidR="00000000" w:rsidRDefault="00DD1D9C">
      <w:pPr>
        <w:autoSpaceDE w:val="0"/>
        <w:autoSpaceDN w:val="0"/>
        <w:adjustRightInd w:val="0"/>
        <w:jc w:val="both"/>
      </w:pPr>
      <w:r>
        <w:tab/>
        <w:t xml:space="preserve">    ekonomske klasifikacije </w:t>
      </w:r>
    </w:p>
    <w:p w:rsidR="00000000" w:rsidRDefault="00DD1D9C">
      <w:pPr>
        <w:autoSpaceDE w:val="0"/>
        <w:autoSpaceDN w:val="0"/>
        <w:adjustRightInd w:val="0"/>
      </w:pPr>
      <w:r>
        <w:tab/>
        <w:t>3. Izvještaj o zaduživanju</w:t>
      </w:r>
    </w:p>
    <w:p w:rsidR="00000000" w:rsidRDefault="00DD1D9C">
      <w:pPr>
        <w:autoSpaceDE w:val="0"/>
        <w:autoSpaceDN w:val="0"/>
        <w:adjustRightInd w:val="0"/>
      </w:pPr>
      <w:r>
        <w:tab/>
        <w:t>4. Izvještaj o danim jamstvima i izdacima po jamstvima</w:t>
      </w:r>
    </w:p>
    <w:p w:rsidR="00000000" w:rsidRDefault="00DD1D9C">
      <w:pPr>
        <w:autoSpaceDE w:val="0"/>
        <w:autoSpaceDN w:val="0"/>
        <w:adjustRightInd w:val="0"/>
      </w:pPr>
      <w:r>
        <w:tab/>
        <w:t>5. Obrazloženje ostvarenja prihoda i primitaka, te rashoda i izdataka</w:t>
      </w:r>
    </w:p>
    <w:p w:rsidR="00000000" w:rsidRDefault="00DD1D9C">
      <w:pPr>
        <w:autoSpaceDE w:val="0"/>
        <w:autoSpaceDN w:val="0"/>
        <w:adjustRightInd w:val="0"/>
      </w:pPr>
      <w:r>
        <w:tab/>
        <w:t>6. Izvještaj o provedbi</w:t>
      </w:r>
      <w:r>
        <w:t xml:space="preserve"> plana razvojnih programa za prvo polugodište 2017. godine</w:t>
      </w:r>
    </w:p>
    <w:p w:rsidR="00000000" w:rsidRDefault="00DD1D9C">
      <w:pPr>
        <w:jc w:val="both"/>
      </w:pPr>
    </w:p>
    <w:p w:rsidR="00000000" w:rsidRDefault="00DD1D9C">
      <w:pPr>
        <w:autoSpaceDE w:val="0"/>
        <w:autoSpaceDN w:val="0"/>
        <w:adjustRightInd w:val="0"/>
        <w:jc w:val="both"/>
      </w:pPr>
      <w:r>
        <w:tab/>
        <w:t>Sukladno odredbama Zakona o proračuna i Pravilnika o polugodišnjem i godišnjem izvještaju o izvršenju proračuna, u općem i posebnom dijelu Polugodišnjeg izvještaja o izvršenju Proračuna Općine De</w:t>
      </w:r>
      <w:r>
        <w:t xml:space="preserve">kanovec za 2017. godinu, prikazani su podaci o planiranim prihodima/primicima i rashodima/izdacima kroz Izvorni plan kao i podaci o njihovu izvršenju u prvom polugodištu 2017. godine. Sukladno Pravilniku, Izvorni plan </w:t>
      </w:r>
      <w:r>
        <w:rPr>
          <w:color w:val="000000"/>
        </w:rPr>
        <w:t>je proračun odnosno posljednje izmjene</w:t>
      </w:r>
      <w:r>
        <w:rPr>
          <w:color w:val="000000"/>
        </w:rPr>
        <w:t xml:space="preserve"> i dopune proračuna</w:t>
      </w:r>
      <w:r>
        <w:t xml:space="preserve"> donesene od strane Općinskog vijeća. Podaci o izvršenju iskazani su na razini odjeljka ekonomske klasifikacije (četvrta razina računskog plana proračuna), dok su podaci o planu iskazani na manje detaljnoj razini odnosno na razini podsku</w:t>
      </w:r>
      <w:r>
        <w:t>pine ekonomske klasifikacije (treća razina računskog plana proračuna) sukladno usvojenom Proračunu za 2017. godinu.</w:t>
      </w:r>
    </w:p>
    <w:p w:rsidR="00000000" w:rsidRDefault="00DD1D9C">
      <w:pPr>
        <w:autoSpaceDE w:val="0"/>
        <w:autoSpaceDN w:val="0"/>
        <w:adjustRightInd w:val="0"/>
        <w:jc w:val="both"/>
        <w:rPr>
          <w:b/>
          <w:u w:val="single"/>
        </w:rPr>
      </w:pPr>
    </w:p>
    <w:p w:rsidR="00000000" w:rsidRDefault="00DD1D9C">
      <w:pPr>
        <w:pStyle w:val="NormalWeb"/>
        <w:spacing w:before="0" w:beforeAutospacing="0" w:after="0" w:afterAutospacing="0"/>
      </w:pPr>
      <w:r>
        <w:t>Proračun Općine Dekanovec za 2017.godinu usvojen je na 18. sjednici Vijeća Općine Dekanovec održanoj dana 07.12.2016 godine. Tim planom pro</w:t>
      </w:r>
      <w:r>
        <w:t>računa Općine Dekanovec planirani su ukupni prihodi i primitci u iznosu od 2.920,700 kuna, te u istom iznosu i ukupni rashodi i izdaci.</w:t>
      </w:r>
    </w:p>
    <w:p w:rsidR="00000000" w:rsidRDefault="00DD1D9C">
      <w:pPr>
        <w:pStyle w:val="NormalWeb"/>
        <w:spacing w:before="0" w:beforeAutospacing="0" w:after="0" w:afterAutospacing="0"/>
        <w:ind w:left="600"/>
        <w:rPr>
          <w:sz w:val="26"/>
          <w:szCs w:val="26"/>
        </w:rPr>
      </w:pPr>
    </w:p>
    <w:tbl>
      <w:tblPr>
        <w:tblW w:w="0" w:type="auto"/>
        <w:tblInd w:w="-34" w:type="dxa"/>
        <w:tblLook w:val="04A0" w:firstRow="1" w:lastRow="0" w:firstColumn="1" w:lastColumn="0" w:noHBand="0" w:noVBand="1"/>
      </w:tblPr>
      <w:tblGrid>
        <w:gridCol w:w="2571"/>
        <w:gridCol w:w="1345"/>
        <w:gridCol w:w="961"/>
        <w:gridCol w:w="927"/>
        <w:gridCol w:w="796"/>
        <w:gridCol w:w="1346"/>
        <w:gridCol w:w="917"/>
        <w:gridCol w:w="917"/>
      </w:tblGrid>
      <w:tr w:rsidR="00000000">
        <w:trPr>
          <w:trHeight w:val="390"/>
        </w:trPr>
        <w:tc>
          <w:tcPr>
            <w:tcW w:w="3954" w:type="dxa"/>
            <w:gridSpan w:val="2"/>
            <w:tcBorders>
              <w:top w:val="nil"/>
              <w:left w:val="nil"/>
              <w:bottom w:val="nil"/>
              <w:right w:val="nil"/>
            </w:tcBorders>
            <w:noWrap/>
            <w:vAlign w:val="bottom"/>
            <w:hideMark/>
          </w:tcPr>
          <w:p w:rsidR="00000000" w:rsidRDefault="00DD1D9C">
            <w:pPr>
              <w:jc w:val="center"/>
              <w:rPr>
                <w:b/>
                <w:bCs/>
              </w:rPr>
            </w:pPr>
            <w:r>
              <w:rPr>
                <w:b/>
                <w:bCs/>
              </w:rPr>
              <w:t>I PRIHODI/PRIMICI</w:t>
            </w:r>
          </w:p>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r>
      <w:tr w:rsidR="00000000">
        <w:trPr>
          <w:trHeight w:val="45"/>
        </w:trPr>
        <w:tc>
          <w:tcPr>
            <w:tcW w:w="2635" w:type="dxa"/>
            <w:tcBorders>
              <w:top w:val="nil"/>
              <w:left w:val="nil"/>
              <w:bottom w:val="nil"/>
              <w:right w:val="nil"/>
            </w:tcBorders>
            <w:noWrap/>
            <w:vAlign w:val="bottom"/>
            <w:hideMark/>
          </w:tcPr>
          <w:p w:rsidR="00000000" w:rsidRDefault="00DD1D9C">
            <w:pPr>
              <w:rPr>
                <w:b/>
                <w:bCs/>
              </w:rPr>
            </w:pPr>
          </w:p>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r>
      <w:tr w:rsidR="00000000">
        <w:trPr>
          <w:trHeight w:val="539"/>
        </w:trPr>
        <w:tc>
          <w:tcPr>
            <w:tcW w:w="9996" w:type="dxa"/>
            <w:gridSpan w:val="8"/>
            <w:tcBorders>
              <w:top w:val="nil"/>
              <w:left w:val="nil"/>
              <w:bottom w:val="nil"/>
              <w:right w:val="nil"/>
            </w:tcBorders>
            <w:vAlign w:val="bottom"/>
            <w:hideMark/>
          </w:tcPr>
          <w:p w:rsidR="00000000" w:rsidRDefault="00DD1D9C">
            <w:r>
              <w:t xml:space="preserve">U obračunskom razdoblju I-VI mjesec 2017. godine ostvareni su ukupni prihodi/primici </w:t>
            </w:r>
            <w:r>
              <w:t>u iznosu od 528.446,85 kn  što je 18,09% ostvarenja godišnjeg plana, odnosno 114.604,15 kn manje od  ostvarenja promatranog obračunskog razdoblja u 2016. godini.</w:t>
            </w:r>
          </w:p>
          <w:p w:rsidR="00000000" w:rsidRDefault="00DD1D9C"/>
          <w:p w:rsidR="00000000" w:rsidRDefault="00DD1D9C"/>
          <w:p w:rsidR="00000000" w:rsidRDefault="00DD1D9C"/>
          <w:p w:rsidR="00000000" w:rsidRDefault="00DD1D9C">
            <w:pPr>
              <w:pStyle w:val="Heading1"/>
            </w:pPr>
            <w:r>
              <w:lastRenderedPageBreak/>
              <w:t>Konto 611 Porez i prirez na dohodak</w:t>
            </w:r>
          </w:p>
          <w:p w:rsidR="00000000" w:rsidRDefault="00DD1D9C"/>
        </w:tc>
      </w:tr>
      <w:tr w:rsidR="00000000">
        <w:trPr>
          <w:trHeight w:val="1364"/>
        </w:trPr>
        <w:tc>
          <w:tcPr>
            <w:tcW w:w="9996" w:type="dxa"/>
            <w:gridSpan w:val="8"/>
            <w:tcBorders>
              <w:top w:val="nil"/>
              <w:left w:val="nil"/>
              <w:bottom w:val="nil"/>
              <w:right w:val="nil"/>
            </w:tcBorders>
            <w:vAlign w:val="bottom"/>
            <w:hideMark/>
          </w:tcPr>
          <w:p w:rsidR="00000000" w:rsidRDefault="00DD1D9C">
            <w:r>
              <w:lastRenderedPageBreak/>
              <w:t>U istom proračunskom razdoblju 2016. godine Općina je</w:t>
            </w:r>
            <w:r>
              <w:t xml:space="preserve"> od poreza na dohodak prihodovala 228.941 kune, dok je u 2017. prihodovala za 1.067,00 kuna više ili 230.008,02 kune. Razlog slabijeg punjenja prihoda od poreza na dohodak u odnosu na prijašnje godine je shodno Zakonu o izmjenama i dopunama zakona o financ</w:t>
            </w:r>
            <w:r>
              <w:t>iranju JLS kojim je Općina Dekanovec svrstana u 3 skupinu potpomognutosti a time i manjim doznakama prihoda od poreza.</w:t>
            </w:r>
          </w:p>
        </w:tc>
      </w:tr>
      <w:tr w:rsidR="00000000">
        <w:trPr>
          <w:trHeight w:val="273"/>
        </w:trPr>
        <w:tc>
          <w:tcPr>
            <w:tcW w:w="9996" w:type="dxa"/>
            <w:gridSpan w:val="8"/>
            <w:tcBorders>
              <w:top w:val="nil"/>
              <w:left w:val="nil"/>
              <w:bottom w:val="nil"/>
              <w:right w:val="nil"/>
            </w:tcBorders>
            <w:vAlign w:val="bottom"/>
            <w:hideMark/>
          </w:tcPr>
          <w:p w:rsidR="00000000" w:rsidRDefault="00DD1D9C"/>
          <w:p w:rsidR="00000000" w:rsidRDefault="00DD1D9C">
            <w:pPr>
              <w:pStyle w:val="Heading1"/>
            </w:pPr>
            <w:r>
              <w:t>Konto 613 Porez na imovinu</w:t>
            </w:r>
          </w:p>
          <w:p w:rsidR="00000000" w:rsidRDefault="00DD1D9C">
            <w:r>
              <w:t>Odnosi se na porez na promet nekretnina, a ostvareni je u iznosu od 2.852,00 kune.</w:t>
            </w:r>
          </w:p>
          <w:p w:rsidR="00000000" w:rsidRDefault="00DD1D9C"/>
          <w:p w:rsidR="00000000" w:rsidRDefault="00DD1D9C">
            <w:pPr>
              <w:pStyle w:val="Heading1"/>
            </w:pPr>
            <w:r>
              <w:t xml:space="preserve">Konto 614 Porez na robu </w:t>
            </w:r>
            <w:r>
              <w:t>i usluge</w:t>
            </w:r>
          </w:p>
          <w:p w:rsidR="00000000" w:rsidRDefault="00DD1D9C">
            <w:r>
              <w:t>Odnosi se na općinske poreze i to porez na tvrtku i naziv te porez na potrošnju alkoholnih i bezalkoholnih pića, a ostvaren je u iznosu od 8.175,58 kn. Naplatu i obračun navedenih prihoda vodi Porezna uprava.</w:t>
            </w:r>
          </w:p>
          <w:p w:rsidR="00000000" w:rsidRDefault="00DD1D9C"/>
          <w:p w:rsidR="00000000" w:rsidRDefault="00DD1D9C">
            <w:pPr>
              <w:pStyle w:val="Heading1"/>
            </w:pPr>
            <w:r>
              <w:t>Konto 633 Pomoći iz proračuna</w:t>
            </w:r>
          </w:p>
          <w:p w:rsidR="00000000" w:rsidRDefault="00DD1D9C">
            <w:r>
              <w:t xml:space="preserve">Tekuće </w:t>
            </w:r>
            <w:r>
              <w:t xml:space="preserve">pomoći iz državnog proračuna ostvarene su u iznosu od 61.138,00 kuna te tekuće pomoći iz županijskog proračuna u iznosu od 45.722,84 kuna. Tekuće pomoći iz državnog proračuna sastoje se od kompenzacijskih mjera za ublažavanje posljedica porezne reforme te </w:t>
            </w:r>
            <w:r>
              <w:t>pomoći temeljem Zakona o izvršavanju državnog proračuna (NN br. 119/16). Tekuće pomoći iz županijskog proračuna sastoje se od povrata za školski prijevoz.</w:t>
            </w:r>
          </w:p>
          <w:p w:rsidR="00000000" w:rsidRDefault="00DD1D9C"/>
          <w:p w:rsidR="00000000" w:rsidRDefault="00DD1D9C">
            <w:pPr>
              <w:pStyle w:val="Heading1"/>
            </w:pPr>
            <w:r>
              <w:t xml:space="preserve">Konto 634 Pomoći od </w:t>
            </w:r>
            <w:proofErr w:type="spellStart"/>
            <w:r>
              <w:t>izvanproračunskih</w:t>
            </w:r>
            <w:proofErr w:type="spellEnd"/>
            <w:r>
              <w:t xml:space="preserve"> korisnika</w:t>
            </w:r>
          </w:p>
          <w:p w:rsidR="00000000" w:rsidRDefault="00DD1D9C">
            <w:r>
              <w:t>Realizirano u ukupnom iznosu od 21.815,17 kn. U nave</w:t>
            </w:r>
            <w:r>
              <w:t>deni konto uključene su tekuće pomoći dobivene od HZZ-a za financiranje javnih radova i osobe na stručnom osposobljavanju.</w:t>
            </w:r>
          </w:p>
          <w:p w:rsidR="00000000" w:rsidRDefault="00DD1D9C"/>
          <w:p w:rsidR="00000000" w:rsidRDefault="00DD1D9C">
            <w:pPr>
              <w:pStyle w:val="Heading1"/>
            </w:pPr>
            <w:r>
              <w:t>Konto 64 Prihodi od imovine</w:t>
            </w:r>
          </w:p>
          <w:p w:rsidR="00000000" w:rsidRDefault="00DD1D9C">
            <w:r>
              <w:t>Prihodi u iznosu od 15.401,68 kn odnose se na  prihode od naknade za koncesije (dimnjačar), poslovnog pr</w:t>
            </w:r>
            <w:r>
              <w:t>ostora, Doma kulture, naknade za nezakonito građenje te prihodi od zakupa poljoprivrednog zemljišta u vlasništvu RH.</w:t>
            </w:r>
          </w:p>
          <w:p w:rsidR="00000000" w:rsidRDefault="00DD1D9C"/>
          <w:p w:rsidR="00000000" w:rsidRDefault="00DD1D9C">
            <w:pPr>
              <w:pStyle w:val="BodyText"/>
            </w:pPr>
            <w:r>
              <w:t>Konto 65 Prihodi od upravnih i administrativnih pristojbi, pristojbi po posebnim propisima i naknada</w:t>
            </w:r>
          </w:p>
          <w:p w:rsidR="00000000" w:rsidRDefault="00DD1D9C">
            <w:r>
              <w:t>Ukupno je realizirano 137.443,04 kuna</w:t>
            </w:r>
            <w:r>
              <w:t>, a odnosi se na prihod od prodaje državnih biljega, prihodi vodnog gospodarstva, komunalna naknada, komunalni doprinos te ostali nespomenuti prihodi (godišnja grobna naknada, naknada za novo grobnom mjesto, ležarina, voda, čišćenje).Dinamika punjenja opći</w:t>
            </w:r>
            <w:r>
              <w:t>nskih prihoda ovisi o naplativosti, a obračunava se temeljem izdanih rješenja za pojedine vrste prihoda.</w:t>
            </w:r>
          </w:p>
          <w:p w:rsidR="00000000" w:rsidRDefault="00DD1D9C"/>
        </w:tc>
      </w:tr>
      <w:tr w:rsidR="00000000">
        <w:trPr>
          <w:trHeight w:val="615"/>
        </w:trPr>
        <w:tc>
          <w:tcPr>
            <w:tcW w:w="3954" w:type="dxa"/>
            <w:gridSpan w:val="2"/>
            <w:tcBorders>
              <w:top w:val="nil"/>
              <w:left w:val="nil"/>
              <w:bottom w:val="nil"/>
              <w:right w:val="nil"/>
            </w:tcBorders>
            <w:vAlign w:val="bottom"/>
            <w:hideMark/>
          </w:tcPr>
          <w:p w:rsidR="00000000" w:rsidRDefault="00DD1D9C">
            <w:pPr>
              <w:jc w:val="center"/>
              <w:rPr>
                <w:b/>
                <w:bCs/>
              </w:rPr>
            </w:pPr>
            <w:r>
              <w:rPr>
                <w:b/>
                <w:bCs/>
              </w:rPr>
              <w:t>II RASHODI/IZDACI</w:t>
            </w:r>
          </w:p>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r>
      <w:tr w:rsidR="00000000">
        <w:trPr>
          <w:trHeight w:val="165"/>
        </w:trPr>
        <w:tc>
          <w:tcPr>
            <w:tcW w:w="2635" w:type="dxa"/>
            <w:tcBorders>
              <w:top w:val="nil"/>
              <w:left w:val="nil"/>
              <w:bottom w:val="nil"/>
              <w:right w:val="nil"/>
            </w:tcBorders>
            <w:noWrap/>
            <w:vAlign w:val="bottom"/>
            <w:hideMark/>
          </w:tcPr>
          <w:p w:rsidR="00000000" w:rsidRDefault="00DD1D9C">
            <w:pPr>
              <w:jc w:val="both"/>
            </w:pPr>
          </w:p>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c>
          <w:tcPr>
            <w:tcW w:w="0" w:type="auto"/>
            <w:tcBorders>
              <w:top w:val="nil"/>
              <w:left w:val="nil"/>
              <w:bottom w:val="nil"/>
              <w:right w:val="nil"/>
            </w:tcBorders>
            <w:noWrap/>
            <w:vAlign w:val="bottom"/>
            <w:hideMark/>
          </w:tcPr>
          <w:p w:rsidR="00000000" w:rsidRDefault="00DD1D9C"/>
        </w:tc>
      </w:tr>
      <w:tr w:rsidR="00000000">
        <w:trPr>
          <w:trHeight w:val="7181"/>
        </w:trPr>
        <w:tc>
          <w:tcPr>
            <w:tcW w:w="9996" w:type="dxa"/>
            <w:gridSpan w:val="8"/>
            <w:tcBorders>
              <w:top w:val="nil"/>
              <w:left w:val="nil"/>
              <w:bottom w:val="nil"/>
              <w:right w:val="nil"/>
            </w:tcBorders>
            <w:vAlign w:val="bottom"/>
            <w:hideMark/>
          </w:tcPr>
          <w:p w:rsidR="00000000" w:rsidRDefault="00DD1D9C">
            <w:r>
              <w:lastRenderedPageBreak/>
              <w:t>U obračunskom razdoblju I-VI mjesec 2017. godine ostvareni su ukupni rashodi i izdaci u iznosu od 554.521,11  kuna,</w:t>
            </w:r>
            <w:r>
              <w:t xml:space="preserve"> što je 19% ovogodišnjeg plana, ili  72.925,89 kn manje od  promatranog obračunskoga razdoblja prošle godine.</w:t>
            </w:r>
          </w:p>
          <w:p w:rsidR="00000000" w:rsidRDefault="00DD1D9C"/>
          <w:p w:rsidR="00000000" w:rsidRDefault="00DD1D9C">
            <w:pPr>
              <w:pStyle w:val="Heading1"/>
            </w:pPr>
            <w:r>
              <w:t>Konto 31 Rashodi za zaposlene</w:t>
            </w:r>
          </w:p>
          <w:p w:rsidR="00000000" w:rsidRDefault="00DD1D9C">
            <w:r>
              <w:t xml:space="preserve">Evidentirani su u ukupnom iznosu od 42.429,26 kn a odnose se na plaće za zaposlene (Mariju Marković i zaposlene po </w:t>
            </w:r>
            <w:r>
              <w:t>javnim radovima).</w:t>
            </w:r>
          </w:p>
          <w:p w:rsidR="00000000" w:rsidRDefault="00DD1D9C"/>
          <w:p w:rsidR="00000000" w:rsidRDefault="00DD1D9C">
            <w:pPr>
              <w:pStyle w:val="Heading1"/>
            </w:pPr>
            <w:r>
              <w:t>Konto 32 Materijalni rashodi</w:t>
            </w:r>
          </w:p>
          <w:p w:rsidR="00000000" w:rsidRDefault="00DD1D9C">
            <w:r>
              <w:t>Čine rashodi za materijal i energiju, uredski materijal i ostale materijalne rashode, rashode za usluge, usluge promidžbe i informiranja, komunalne usluge, intelektualne i osobne usluge, naknade za rad predst</w:t>
            </w:r>
            <w:r>
              <w:t>avničkih i izvršnih tijela. Sveukupni rashodi za izvještajno razdoblje iznose 212.476,37 kn.</w:t>
            </w:r>
          </w:p>
          <w:p w:rsidR="00000000" w:rsidRDefault="00DD1D9C"/>
          <w:p w:rsidR="00000000" w:rsidRDefault="00DD1D9C">
            <w:pPr>
              <w:pStyle w:val="Heading1"/>
            </w:pPr>
            <w:r>
              <w:t>Konto 34 Financijski rashodi</w:t>
            </w:r>
          </w:p>
          <w:p w:rsidR="00000000" w:rsidRDefault="00DD1D9C">
            <w:r>
              <w:t xml:space="preserve">Odnose se na usluge platnog prometa, kamate za primljene kredite, zatezne kamate te ostale financijske rashode. Sveukupni rashodi za </w:t>
            </w:r>
            <w:r>
              <w:t>izvještajno razdoblje iznose 17.471,81 kn.</w:t>
            </w:r>
          </w:p>
          <w:p w:rsidR="00000000" w:rsidRDefault="00DD1D9C"/>
          <w:p w:rsidR="00000000" w:rsidRDefault="00DD1D9C">
            <w:pPr>
              <w:rPr>
                <w:b/>
                <w:bCs/>
              </w:rPr>
            </w:pPr>
            <w:r>
              <w:rPr>
                <w:b/>
                <w:bCs/>
              </w:rPr>
              <w:t>Konto 36 Pomoći unutar općeg proračuna</w:t>
            </w:r>
          </w:p>
          <w:p w:rsidR="00000000" w:rsidRDefault="00DD1D9C">
            <w:r>
              <w:t>Izvršenje za promatrano razdoblje iznosi 4.475,94 kn a odnosi se na tekuće pomoći gradskim proračunima – JVP Čakovec.</w:t>
            </w:r>
          </w:p>
          <w:p w:rsidR="00000000" w:rsidRDefault="00DD1D9C"/>
          <w:p w:rsidR="00000000" w:rsidRDefault="00DD1D9C">
            <w:pPr>
              <w:pStyle w:val="Heading1"/>
            </w:pPr>
            <w:r>
              <w:t>Konto 37 Naknade građanima i kućanstvima na temelju os</w:t>
            </w:r>
            <w:r>
              <w:t>iguranja i druge naknade</w:t>
            </w:r>
          </w:p>
          <w:p w:rsidR="00000000" w:rsidRDefault="00DD1D9C">
            <w:r>
              <w:t>Konto se odnosi na naknade za novorođenu djecu, pomoć djeci s poteškoćama, stipendije, školski prijevoz, dječji vrtić. Sveukupni rashodi za izvještajno razdoblje iznose 135.357,50 kn.</w:t>
            </w:r>
          </w:p>
          <w:p w:rsidR="00000000" w:rsidRDefault="00DD1D9C"/>
          <w:p w:rsidR="00000000" w:rsidRDefault="00DD1D9C">
            <w:pPr>
              <w:pStyle w:val="Heading1"/>
            </w:pPr>
            <w:r>
              <w:t>Konto 38 Ostali rashodi</w:t>
            </w:r>
          </w:p>
          <w:p w:rsidR="00000000" w:rsidRDefault="00DD1D9C">
            <w:r>
              <w:t>Uključuje razne tekuće</w:t>
            </w:r>
            <w:r>
              <w:t xml:space="preserve"> donacije udrugama, vjerskim i političkim organizacijama.</w:t>
            </w:r>
          </w:p>
          <w:p w:rsidR="00000000" w:rsidRDefault="00DD1D9C"/>
          <w:p w:rsidR="00000000" w:rsidRDefault="00DD1D9C">
            <w:pPr>
              <w:pStyle w:val="Heading1"/>
            </w:pPr>
            <w:r>
              <w:t xml:space="preserve">Konto 41 Rashodi za nabavu </w:t>
            </w:r>
            <w:proofErr w:type="spellStart"/>
            <w:r>
              <w:t>neproizvedene</w:t>
            </w:r>
            <w:proofErr w:type="spellEnd"/>
            <w:r>
              <w:t xml:space="preserve"> dugotrajne imovine</w:t>
            </w:r>
          </w:p>
          <w:p w:rsidR="00000000" w:rsidRDefault="00DD1D9C">
            <w:r>
              <w:t>12.900,00 kuna uplaćeno je iz općinskog proračuna u državni proračun za kupnju čestice u poduzetničkoj zoni. Ista nam je potrebna kako bi</w:t>
            </w:r>
            <w:r>
              <w:t xml:space="preserve"> se moglo pristupiti prodaji parcela u </w:t>
            </w:r>
            <w:proofErr w:type="spellStart"/>
            <w:r>
              <w:t>poduzentičkoj</w:t>
            </w:r>
            <w:proofErr w:type="spellEnd"/>
            <w:r>
              <w:t xml:space="preserve"> zoni.</w:t>
            </w:r>
          </w:p>
          <w:p w:rsidR="00000000" w:rsidRDefault="00DD1D9C"/>
          <w:p w:rsidR="00000000" w:rsidRDefault="00DD1D9C">
            <w:pPr>
              <w:pStyle w:val="Heading1"/>
            </w:pPr>
            <w:r>
              <w:t>Konto 42 Rashodi za nabavu proizvedene dugotrajne imovine</w:t>
            </w:r>
          </w:p>
          <w:p w:rsidR="00000000" w:rsidRDefault="00DD1D9C">
            <w:r>
              <w:t>40.000,00 kuna odnosi se na radove u Prvomajskoj ulici.</w:t>
            </w:r>
          </w:p>
          <w:p w:rsidR="00000000" w:rsidRDefault="00DD1D9C"/>
          <w:p w:rsidR="00000000" w:rsidRDefault="00DD1D9C">
            <w:pPr>
              <w:pStyle w:val="Heading1"/>
            </w:pPr>
            <w:r>
              <w:t>Konto 54 Izdaci za otplatu glavnice primljenih kredita i zajmova</w:t>
            </w:r>
          </w:p>
          <w:p w:rsidR="00000000" w:rsidRDefault="00DD1D9C">
            <w:r>
              <w:t>U izvještajnom r</w:t>
            </w:r>
            <w:r>
              <w:t>azdoblju isplaćeno je 67.485,88 kn na ime otplate kredita za «Prometnicu do rijeke Mure».</w:t>
            </w:r>
          </w:p>
          <w:p w:rsidR="00000000" w:rsidRDefault="00DD1D9C"/>
        </w:tc>
      </w:tr>
      <w:tr w:rsidR="00000000">
        <w:trPr>
          <w:trHeight w:val="489"/>
        </w:trPr>
        <w:tc>
          <w:tcPr>
            <w:tcW w:w="9996" w:type="dxa"/>
            <w:gridSpan w:val="8"/>
            <w:tcBorders>
              <w:top w:val="nil"/>
              <w:left w:val="nil"/>
              <w:bottom w:val="nil"/>
              <w:right w:val="nil"/>
            </w:tcBorders>
            <w:vAlign w:val="bottom"/>
            <w:hideMark/>
          </w:tcPr>
          <w:p w:rsidR="00000000" w:rsidRDefault="00DD1D9C">
            <w:r>
              <w:t xml:space="preserve">Tijekom izvještajnog razdoblja općina nije imala prihode od vlastite djelatnosti, jer nema ustrojenu takovu djelatnost. Općina nije davala nikakve zajmove. </w:t>
            </w:r>
          </w:p>
          <w:p w:rsidR="00000000" w:rsidRDefault="00DD1D9C"/>
          <w:p w:rsidR="00000000" w:rsidRDefault="00DD1D9C">
            <w:r>
              <w:t>U polu</w:t>
            </w:r>
            <w:r>
              <w:t>godišnjem izvještaju o izvršenju proračuna Općine Dekanovec za 2017. godinu iskazani su ukupni prihodi u visini od 528.446,85 kuna, te rashodi u iznosu od 554.521,11 kuna. Tijekom izvještajnog razdoblja ostvaren je manjak od -26.074,26 kn.</w:t>
            </w:r>
          </w:p>
          <w:p w:rsidR="00000000" w:rsidRDefault="00DD1D9C">
            <w:r>
              <w:t>Manjak prihoda p</w:t>
            </w:r>
            <w:r>
              <w:t>renesen iz prethodnih godina u iznosu od 116.439,50 kn uključen je u izvještaj za 2017. godinu te stoga sveukupni manjak iznosi –142.513,76 kn.</w:t>
            </w:r>
          </w:p>
          <w:p w:rsidR="00000000" w:rsidRDefault="00DD1D9C"/>
          <w:p w:rsidR="00000000" w:rsidRDefault="00DD1D9C">
            <w:pPr>
              <w:pStyle w:val="Heading1"/>
            </w:pPr>
            <w:r>
              <w:t>POSEBNI DIO</w:t>
            </w:r>
          </w:p>
          <w:p w:rsidR="00000000" w:rsidRDefault="00DD1D9C">
            <w:r>
              <w:t>U posebnom dijelu proračuna planski podaci rashoda i izdataka raspoređeni su na način da se poštuju</w:t>
            </w:r>
            <w:r>
              <w:t xml:space="preserve"> sve zakonom propisane klasifikacije:</w:t>
            </w:r>
          </w:p>
          <w:p w:rsidR="00000000" w:rsidRDefault="00DD1D9C">
            <w:pPr>
              <w:numPr>
                <w:ilvl w:val="0"/>
                <w:numId w:val="8"/>
              </w:numPr>
            </w:pPr>
            <w:r>
              <w:t>Organizacijska (podaci su razvrstani po razdjelima i glavama)</w:t>
            </w:r>
          </w:p>
          <w:p w:rsidR="00000000" w:rsidRDefault="00DD1D9C">
            <w:pPr>
              <w:numPr>
                <w:ilvl w:val="0"/>
                <w:numId w:val="8"/>
              </w:numPr>
            </w:pPr>
            <w:r>
              <w:t>Ekonomska (prilikom planiranja koriste se računi računskog plana)</w:t>
            </w:r>
          </w:p>
          <w:p w:rsidR="00000000" w:rsidRDefault="00DD1D9C">
            <w:pPr>
              <w:numPr>
                <w:ilvl w:val="0"/>
                <w:numId w:val="8"/>
              </w:numPr>
            </w:pPr>
            <w:r>
              <w:t>Funkcijska (svakom je programu dodijeljena šifra – četveroznamenkasti broj funkcije koji s</w:t>
            </w:r>
            <w:r>
              <w:t>e izvršava kroz određene programe)</w:t>
            </w:r>
          </w:p>
          <w:p w:rsidR="00000000" w:rsidRDefault="00DD1D9C">
            <w:pPr>
              <w:numPr>
                <w:ilvl w:val="0"/>
                <w:numId w:val="8"/>
              </w:numPr>
            </w:pPr>
            <w:r>
              <w:lastRenderedPageBreak/>
              <w:t>Programska (unutar razdjela i glava proračuna osnovne plaske cjeline u Programi, koji se izvršavaju kroz različite aktivnosti)</w:t>
            </w:r>
          </w:p>
          <w:p w:rsidR="00000000" w:rsidRDefault="00DD1D9C">
            <w:pPr>
              <w:numPr>
                <w:ilvl w:val="0"/>
                <w:numId w:val="8"/>
              </w:numPr>
            </w:pPr>
            <w:r>
              <w:t xml:space="preserve">Izvori financiranja (prihodi i primici grupirani su u skupine iz kojih se podmiruju rashodi i </w:t>
            </w:r>
            <w:r>
              <w:t>izdaci određene vrste i namjene; navedeno se provodi zbog praćenja namjenskog trošenja proračunskog novca)</w:t>
            </w:r>
          </w:p>
        </w:tc>
      </w:tr>
      <w:tr w:rsidR="00000000">
        <w:trPr>
          <w:trHeight w:val="645"/>
        </w:trPr>
        <w:tc>
          <w:tcPr>
            <w:tcW w:w="4990" w:type="dxa"/>
            <w:gridSpan w:val="3"/>
            <w:tcBorders>
              <w:top w:val="nil"/>
              <w:left w:val="nil"/>
              <w:bottom w:val="nil"/>
              <w:right w:val="nil"/>
            </w:tcBorders>
            <w:noWrap/>
            <w:vAlign w:val="bottom"/>
            <w:hideMark/>
          </w:tcPr>
          <w:p w:rsidR="00000000" w:rsidRDefault="00DD1D9C">
            <w:pPr>
              <w:rPr>
                <w:b/>
                <w:bCs/>
              </w:rPr>
            </w:pPr>
            <w:r>
              <w:rPr>
                <w:b/>
                <w:bCs/>
              </w:rPr>
              <w:lastRenderedPageBreak/>
              <w:t>Tablica primljenih zajmova i otplata</w:t>
            </w:r>
          </w:p>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noWrap/>
            <w:vAlign w:val="bottom"/>
            <w:hideMark/>
          </w:tcPr>
          <w:p w:rsidR="00000000" w:rsidRDefault="00DD1D9C"/>
        </w:tc>
      </w:tr>
      <w:tr w:rsidR="00000000">
        <w:trPr>
          <w:trHeight w:val="315"/>
        </w:trPr>
        <w:tc>
          <w:tcPr>
            <w:tcW w:w="2635" w:type="dxa"/>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vAlign w:val="bottom"/>
            <w:hideMark/>
          </w:tcPr>
          <w:p w:rsidR="00000000" w:rsidRDefault="00DD1D9C"/>
        </w:tc>
        <w:tc>
          <w:tcPr>
            <w:tcW w:w="0" w:type="auto"/>
            <w:tcBorders>
              <w:top w:val="nil"/>
              <w:left w:val="nil"/>
              <w:bottom w:val="nil"/>
              <w:right w:val="nil"/>
            </w:tcBorders>
            <w:noWrap/>
            <w:vAlign w:val="bottom"/>
            <w:hideMark/>
          </w:tcPr>
          <w:p w:rsidR="00000000" w:rsidRDefault="00DD1D9C"/>
        </w:tc>
      </w:tr>
      <w:tr w:rsidR="00000000">
        <w:trPr>
          <w:trHeight w:val="1176"/>
        </w:trPr>
        <w:tc>
          <w:tcPr>
            <w:tcW w:w="2635" w:type="dxa"/>
            <w:tcBorders>
              <w:top w:val="single" w:sz="8" w:space="0" w:color="000000"/>
              <w:left w:val="single" w:sz="8" w:space="0" w:color="000000"/>
              <w:bottom w:val="single" w:sz="8" w:space="0" w:color="000000"/>
              <w:right w:val="single" w:sz="8" w:space="0" w:color="000000"/>
            </w:tcBorders>
            <w:vAlign w:val="center"/>
            <w:hideMark/>
          </w:tcPr>
          <w:p w:rsidR="00000000" w:rsidRDefault="00DD1D9C">
            <w:pPr>
              <w:jc w:val="center"/>
              <w:rPr>
                <w:b/>
                <w:bCs/>
                <w:sz w:val="18"/>
                <w:szCs w:val="18"/>
              </w:rPr>
            </w:pPr>
            <w:r>
              <w:rPr>
                <w:b/>
                <w:bCs/>
                <w:sz w:val="18"/>
                <w:szCs w:val="18"/>
              </w:rPr>
              <w:t>Naziv pravne osobe</w:t>
            </w:r>
          </w:p>
        </w:tc>
        <w:tc>
          <w:tcPr>
            <w:tcW w:w="0" w:type="auto"/>
            <w:tcBorders>
              <w:top w:val="single" w:sz="8" w:space="0" w:color="000000"/>
              <w:left w:val="nil"/>
              <w:bottom w:val="single" w:sz="8" w:space="0" w:color="000000"/>
              <w:right w:val="single" w:sz="4" w:space="0" w:color="000000"/>
            </w:tcBorders>
            <w:vAlign w:val="center"/>
            <w:hideMark/>
          </w:tcPr>
          <w:p w:rsidR="00000000" w:rsidRDefault="00DD1D9C">
            <w:pPr>
              <w:jc w:val="center"/>
              <w:rPr>
                <w:b/>
                <w:bCs/>
                <w:sz w:val="18"/>
                <w:szCs w:val="18"/>
              </w:rPr>
            </w:pPr>
            <w:r>
              <w:rPr>
                <w:b/>
                <w:bCs/>
                <w:sz w:val="18"/>
                <w:szCs w:val="18"/>
              </w:rPr>
              <w:t>Stanje zajma 1.1</w:t>
            </w:r>
          </w:p>
        </w:tc>
        <w:tc>
          <w:tcPr>
            <w:tcW w:w="0" w:type="auto"/>
            <w:tcBorders>
              <w:top w:val="single" w:sz="8" w:space="0" w:color="000000"/>
              <w:left w:val="nil"/>
              <w:bottom w:val="single" w:sz="8" w:space="0" w:color="000000"/>
              <w:right w:val="single" w:sz="4" w:space="0" w:color="000000"/>
            </w:tcBorders>
            <w:vAlign w:val="center"/>
            <w:hideMark/>
          </w:tcPr>
          <w:p w:rsidR="00000000" w:rsidRDefault="00DD1D9C">
            <w:pPr>
              <w:jc w:val="center"/>
              <w:rPr>
                <w:b/>
                <w:bCs/>
                <w:sz w:val="18"/>
                <w:szCs w:val="18"/>
              </w:rPr>
            </w:pPr>
            <w:r>
              <w:rPr>
                <w:b/>
                <w:bCs/>
                <w:sz w:val="18"/>
                <w:szCs w:val="18"/>
              </w:rPr>
              <w:t>Otplate glavnice</w:t>
            </w:r>
          </w:p>
        </w:tc>
        <w:tc>
          <w:tcPr>
            <w:tcW w:w="0" w:type="auto"/>
            <w:tcBorders>
              <w:top w:val="single" w:sz="8" w:space="0" w:color="000000"/>
              <w:left w:val="nil"/>
              <w:bottom w:val="single" w:sz="8" w:space="0" w:color="000000"/>
              <w:right w:val="single" w:sz="4" w:space="0" w:color="000000"/>
            </w:tcBorders>
            <w:vAlign w:val="center"/>
            <w:hideMark/>
          </w:tcPr>
          <w:p w:rsidR="00000000" w:rsidRDefault="00DD1D9C">
            <w:pPr>
              <w:jc w:val="center"/>
              <w:rPr>
                <w:b/>
                <w:bCs/>
                <w:sz w:val="18"/>
                <w:szCs w:val="18"/>
              </w:rPr>
            </w:pPr>
            <w:r>
              <w:rPr>
                <w:b/>
                <w:bCs/>
                <w:sz w:val="18"/>
                <w:szCs w:val="18"/>
              </w:rPr>
              <w:t>Primljeni zajmovi u tekućoj godini</w:t>
            </w:r>
          </w:p>
        </w:tc>
        <w:tc>
          <w:tcPr>
            <w:tcW w:w="0" w:type="auto"/>
            <w:tcBorders>
              <w:top w:val="single" w:sz="8" w:space="0" w:color="000000"/>
              <w:left w:val="nil"/>
              <w:bottom w:val="single" w:sz="8" w:space="0" w:color="000000"/>
              <w:right w:val="single" w:sz="4" w:space="0" w:color="000000"/>
            </w:tcBorders>
            <w:vAlign w:val="center"/>
            <w:hideMark/>
          </w:tcPr>
          <w:p w:rsidR="00000000" w:rsidRDefault="00DD1D9C">
            <w:pPr>
              <w:jc w:val="center"/>
              <w:rPr>
                <w:b/>
                <w:bCs/>
                <w:sz w:val="18"/>
                <w:szCs w:val="18"/>
              </w:rPr>
            </w:pPr>
            <w:r>
              <w:rPr>
                <w:b/>
                <w:bCs/>
                <w:sz w:val="18"/>
                <w:szCs w:val="18"/>
              </w:rPr>
              <w:t>Stanje z</w:t>
            </w:r>
            <w:r>
              <w:rPr>
                <w:b/>
                <w:bCs/>
                <w:sz w:val="18"/>
                <w:szCs w:val="18"/>
              </w:rPr>
              <w:t>ajma 30.06.</w:t>
            </w:r>
          </w:p>
        </w:tc>
        <w:tc>
          <w:tcPr>
            <w:tcW w:w="0" w:type="auto"/>
            <w:tcBorders>
              <w:top w:val="single" w:sz="8" w:space="0" w:color="000000"/>
              <w:left w:val="nil"/>
              <w:bottom w:val="single" w:sz="8" w:space="0" w:color="000000"/>
              <w:right w:val="single" w:sz="4" w:space="0" w:color="000000"/>
            </w:tcBorders>
            <w:vAlign w:val="center"/>
            <w:hideMark/>
          </w:tcPr>
          <w:p w:rsidR="00000000" w:rsidRDefault="00DD1D9C">
            <w:pPr>
              <w:jc w:val="center"/>
              <w:rPr>
                <w:b/>
                <w:bCs/>
                <w:sz w:val="18"/>
                <w:szCs w:val="18"/>
              </w:rPr>
            </w:pPr>
            <w:r>
              <w:rPr>
                <w:b/>
                <w:bCs/>
                <w:sz w:val="18"/>
                <w:szCs w:val="18"/>
              </w:rPr>
              <w:t>Revalorizacija/ tečajne razlike u tekućoj godini</w:t>
            </w:r>
          </w:p>
        </w:tc>
        <w:tc>
          <w:tcPr>
            <w:tcW w:w="0" w:type="auto"/>
            <w:tcBorders>
              <w:top w:val="single" w:sz="8" w:space="0" w:color="000000"/>
              <w:left w:val="nil"/>
              <w:bottom w:val="single" w:sz="8" w:space="0" w:color="000000"/>
              <w:right w:val="single" w:sz="4" w:space="0" w:color="000000"/>
            </w:tcBorders>
            <w:vAlign w:val="center"/>
            <w:hideMark/>
          </w:tcPr>
          <w:p w:rsidR="00000000" w:rsidRDefault="00DD1D9C">
            <w:pPr>
              <w:jc w:val="center"/>
              <w:rPr>
                <w:b/>
                <w:bCs/>
                <w:sz w:val="18"/>
                <w:szCs w:val="18"/>
              </w:rPr>
            </w:pPr>
            <w:r>
              <w:rPr>
                <w:b/>
                <w:bCs/>
                <w:sz w:val="18"/>
                <w:szCs w:val="18"/>
              </w:rPr>
              <w:t>Datum primanja zajma</w:t>
            </w:r>
          </w:p>
        </w:tc>
        <w:tc>
          <w:tcPr>
            <w:tcW w:w="0" w:type="auto"/>
            <w:tcBorders>
              <w:top w:val="single" w:sz="8" w:space="0" w:color="000000"/>
              <w:left w:val="nil"/>
              <w:bottom w:val="single" w:sz="8" w:space="0" w:color="000000"/>
              <w:right w:val="single" w:sz="8" w:space="0" w:color="000000"/>
            </w:tcBorders>
            <w:vAlign w:val="center"/>
            <w:hideMark/>
          </w:tcPr>
          <w:p w:rsidR="00000000" w:rsidRDefault="00DD1D9C">
            <w:pPr>
              <w:jc w:val="center"/>
              <w:rPr>
                <w:b/>
                <w:bCs/>
                <w:sz w:val="18"/>
                <w:szCs w:val="18"/>
              </w:rPr>
            </w:pPr>
            <w:r>
              <w:rPr>
                <w:b/>
                <w:bCs/>
                <w:sz w:val="18"/>
                <w:szCs w:val="18"/>
              </w:rPr>
              <w:t>Datum dospijeća zajma</w:t>
            </w:r>
          </w:p>
        </w:tc>
      </w:tr>
      <w:tr w:rsidR="00000000">
        <w:trPr>
          <w:trHeight w:val="615"/>
        </w:trPr>
        <w:tc>
          <w:tcPr>
            <w:tcW w:w="2635" w:type="dxa"/>
            <w:tcBorders>
              <w:top w:val="nil"/>
              <w:left w:val="single" w:sz="8" w:space="0" w:color="000000"/>
              <w:bottom w:val="single" w:sz="4" w:space="0" w:color="000000"/>
              <w:right w:val="single" w:sz="8" w:space="0" w:color="000000"/>
            </w:tcBorders>
            <w:vAlign w:val="center"/>
            <w:hideMark/>
          </w:tcPr>
          <w:p w:rsidR="00000000" w:rsidRDefault="00DD1D9C">
            <w:pPr>
              <w:rPr>
                <w:sz w:val="20"/>
                <w:szCs w:val="20"/>
              </w:rPr>
            </w:pPr>
            <w:r>
              <w:rPr>
                <w:sz w:val="20"/>
                <w:szCs w:val="20"/>
              </w:rPr>
              <w:t>A1. Tuzemni kratkoročni zajmovi</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8" w:space="0" w:color="000000"/>
            </w:tcBorders>
            <w:noWrap/>
            <w:vAlign w:val="bottom"/>
            <w:hideMark/>
          </w:tcPr>
          <w:p w:rsidR="00000000" w:rsidRDefault="00DD1D9C">
            <w:pPr>
              <w:rPr>
                <w:sz w:val="20"/>
                <w:szCs w:val="20"/>
              </w:rPr>
            </w:pPr>
            <w:r>
              <w:rPr>
                <w:sz w:val="20"/>
                <w:szCs w:val="20"/>
              </w:rPr>
              <w:t> </w:t>
            </w:r>
          </w:p>
        </w:tc>
      </w:tr>
      <w:tr w:rsidR="00000000">
        <w:trPr>
          <w:trHeight w:val="503"/>
        </w:trPr>
        <w:tc>
          <w:tcPr>
            <w:tcW w:w="2635" w:type="dxa"/>
            <w:tcBorders>
              <w:top w:val="nil"/>
              <w:left w:val="single" w:sz="8" w:space="0" w:color="000000"/>
              <w:bottom w:val="single" w:sz="4" w:space="0" w:color="000000"/>
              <w:right w:val="single" w:sz="8" w:space="0" w:color="000000"/>
            </w:tcBorders>
            <w:vAlign w:val="center"/>
            <w:hideMark/>
          </w:tcPr>
          <w:p w:rsidR="00000000" w:rsidRDefault="00DD1D9C">
            <w:pPr>
              <w:rPr>
                <w:b/>
                <w:bCs/>
                <w:sz w:val="20"/>
                <w:szCs w:val="20"/>
              </w:rPr>
            </w:pPr>
            <w:r>
              <w:rPr>
                <w:b/>
                <w:bCs/>
                <w:sz w:val="20"/>
                <w:szCs w:val="20"/>
              </w:rPr>
              <w:t>UKUPNO POD A1.</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8" w:space="0" w:color="000000"/>
            </w:tcBorders>
            <w:noWrap/>
            <w:vAlign w:val="bottom"/>
            <w:hideMark/>
          </w:tcPr>
          <w:p w:rsidR="00000000" w:rsidRDefault="00DD1D9C">
            <w:pPr>
              <w:rPr>
                <w:b/>
                <w:bCs/>
                <w:sz w:val="20"/>
                <w:szCs w:val="20"/>
              </w:rPr>
            </w:pPr>
            <w:r>
              <w:rPr>
                <w:b/>
                <w:bCs/>
                <w:sz w:val="20"/>
                <w:szCs w:val="20"/>
              </w:rPr>
              <w:t> </w:t>
            </w:r>
          </w:p>
        </w:tc>
      </w:tr>
      <w:tr w:rsidR="00000000">
        <w:trPr>
          <w:trHeight w:val="615"/>
        </w:trPr>
        <w:tc>
          <w:tcPr>
            <w:tcW w:w="2635" w:type="dxa"/>
            <w:tcBorders>
              <w:top w:val="nil"/>
              <w:left w:val="single" w:sz="8" w:space="0" w:color="000000"/>
              <w:bottom w:val="single" w:sz="4" w:space="0" w:color="000000"/>
              <w:right w:val="single" w:sz="8" w:space="0" w:color="000000"/>
            </w:tcBorders>
            <w:vAlign w:val="center"/>
            <w:hideMark/>
          </w:tcPr>
          <w:p w:rsidR="00000000" w:rsidRDefault="00DD1D9C">
            <w:pPr>
              <w:rPr>
                <w:sz w:val="20"/>
                <w:szCs w:val="20"/>
              </w:rPr>
            </w:pPr>
            <w:r>
              <w:rPr>
                <w:sz w:val="20"/>
                <w:szCs w:val="20"/>
              </w:rPr>
              <w:t>A2. Tuzemni dugoročni zajmovi</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8" w:space="0" w:color="000000"/>
            </w:tcBorders>
            <w:noWrap/>
            <w:vAlign w:val="bottom"/>
            <w:hideMark/>
          </w:tcPr>
          <w:p w:rsidR="00000000" w:rsidRDefault="00DD1D9C">
            <w:pPr>
              <w:rPr>
                <w:sz w:val="20"/>
                <w:szCs w:val="20"/>
              </w:rPr>
            </w:pPr>
            <w:r>
              <w:rPr>
                <w:sz w:val="20"/>
                <w:szCs w:val="20"/>
              </w:rPr>
              <w:t> </w:t>
            </w:r>
          </w:p>
        </w:tc>
      </w:tr>
      <w:tr w:rsidR="00000000">
        <w:trPr>
          <w:trHeight w:val="663"/>
        </w:trPr>
        <w:tc>
          <w:tcPr>
            <w:tcW w:w="2635" w:type="dxa"/>
            <w:tcBorders>
              <w:top w:val="nil"/>
              <w:left w:val="single" w:sz="8" w:space="0" w:color="000000"/>
              <w:bottom w:val="single" w:sz="4" w:space="0" w:color="000000"/>
              <w:right w:val="single" w:sz="8" w:space="0" w:color="000000"/>
            </w:tcBorders>
            <w:vAlign w:val="center"/>
            <w:hideMark/>
          </w:tcPr>
          <w:p w:rsidR="00000000" w:rsidRDefault="00DD1D9C">
            <w:pPr>
              <w:rPr>
                <w:sz w:val="16"/>
                <w:szCs w:val="16"/>
              </w:rPr>
            </w:pPr>
            <w:r>
              <w:rPr>
                <w:sz w:val="16"/>
                <w:szCs w:val="16"/>
              </w:rPr>
              <w:t>Privredna banka Zagreb – Podr</w:t>
            </w:r>
            <w:r>
              <w:rPr>
                <w:sz w:val="16"/>
                <w:szCs w:val="16"/>
              </w:rPr>
              <w:t>užnica Čakovec</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sz w:val="16"/>
                <w:szCs w:val="16"/>
              </w:rPr>
            </w:pPr>
            <w:r>
              <w:rPr>
                <w:sz w:val="16"/>
                <w:szCs w:val="16"/>
              </w:rPr>
              <w:t>608.082</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sz w:val="16"/>
                <w:szCs w:val="16"/>
              </w:rPr>
            </w:pPr>
            <w:r>
              <w:rPr>
                <w:sz w:val="16"/>
                <w:szCs w:val="16"/>
              </w:rPr>
              <w:t>67.486</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sz w:val="16"/>
                <w:szCs w:val="16"/>
              </w:rPr>
            </w:pPr>
            <w:r>
              <w:rPr>
                <w:sz w:val="16"/>
                <w:szCs w:val="16"/>
              </w:rPr>
              <w:t>0,00</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sz w:val="16"/>
                <w:szCs w:val="16"/>
              </w:rPr>
            </w:pPr>
            <w:r>
              <w:rPr>
                <w:sz w:val="16"/>
                <w:szCs w:val="16"/>
              </w:rPr>
              <w:t>540.596</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sz w:val="16"/>
                <w:szCs w:val="16"/>
              </w:rPr>
            </w:pPr>
          </w:p>
        </w:tc>
        <w:tc>
          <w:tcPr>
            <w:tcW w:w="0" w:type="auto"/>
            <w:tcBorders>
              <w:top w:val="nil"/>
              <w:left w:val="nil"/>
              <w:bottom w:val="single" w:sz="4" w:space="0" w:color="000000"/>
              <w:right w:val="single" w:sz="4" w:space="0" w:color="000000"/>
            </w:tcBorders>
            <w:vAlign w:val="bottom"/>
            <w:hideMark/>
          </w:tcPr>
          <w:p w:rsidR="00000000" w:rsidRDefault="00DD1D9C">
            <w:pPr>
              <w:jc w:val="right"/>
              <w:rPr>
                <w:sz w:val="16"/>
                <w:szCs w:val="16"/>
              </w:rPr>
            </w:pPr>
            <w:r>
              <w:rPr>
                <w:sz w:val="16"/>
                <w:szCs w:val="16"/>
              </w:rPr>
              <w:t>29.04.2013</w:t>
            </w:r>
          </w:p>
        </w:tc>
        <w:tc>
          <w:tcPr>
            <w:tcW w:w="0" w:type="auto"/>
            <w:tcBorders>
              <w:top w:val="nil"/>
              <w:left w:val="nil"/>
              <w:bottom w:val="single" w:sz="4" w:space="0" w:color="000000"/>
              <w:right w:val="single" w:sz="8" w:space="0" w:color="000000"/>
            </w:tcBorders>
            <w:vAlign w:val="bottom"/>
            <w:hideMark/>
          </w:tcPr>
          <w:p w:rsidR="00000000" w:rsidRDefault="00DD1D9C">
            <w:pPr>
              <w:rPr>
                <w:sz w:val="16"/>
                <w:szCs w:val="16"/>
              </w:rPr>
            </w:pPr>
            <w:r>
              <w:rPr>
                <w:sz w:val="16"/>
                <w:szCs w:val="16"/>
              </w:rPr>
              <w:t>Svakog 1-</w:t>
            </w:r>
            <w:proofErr w:type="spellStart"/>
            <w:r>
              <w:rPr>
                <w:sz w:val="16"/>
                <w:szCs w:val="16"/>
              </w:rPr>
              <w:t>og</w:t>
            </w:r>
            <w:proofErr w:type="spellEnd"/>
            <w:r>
              <w:rPr>
                <w:sz w:val="16"/>
                <w:szCs w:val="16"/>
              </w:rPr>
              <w:t xml:space="preserve"> u mjesecu</w:t>
            </w:r>
          </w:p>
        </w:tc>
      </w:tr>
      <w:tr w:rsidR="00000000">
        <w:trPr>
          <w:trHeight w:val="559"/>
        </w:trPr>
        <w:tc>
          <w:tcPr>
            <w:tcW w:w="2635" w:type="dxa"/>
            <w:tcBorders>
              <w:top w:val="nil"/>
              <w:left w:val="single" w:sz="8" w:space="0" w:color="000000"/>
              <w:bottom w:val="single" w:sz="4" w:space="0" w:color="000000"/>
              <w:right w:val="single" w:sz="8" w:space="0" w:color="000000"/>
            </w:tcBorders>
            <w:vAlign w:val="center"/>
            <w:hideMark/>
          </w:tcPr>
          <w:p w:rsidR="00000000" w:rsidRDefault="00DD1D9C">
            <w:pPr>
              <w:rPr>
                <w:b/>
                <w:bCs/>
                <w:sz w:val="16"/>
                <w:szCs w:val="16"/>
              </w:rPr>
            </w:pPr>
            <w:r>
              <w:rPr>
                <w:b/>
                <w:bCs/>
                <w:sz w:val="16"/>
                <w:szCs w:val="16"/>
              </w:rPr>
              <w:t>UKUPNO POD A2.</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b/>
                <w:bCs/>
                <w:sz w:val="16"/>
                <w:szCs w:val="16"/>
              </w:rPr>
            </w:pPr>
            <w:r>
              <w:rPr>
                <w:b/>
                <w:bCs/>
                <w:sz w:val="16"/>
                <w:szCs w:val="16"/>
              </w:rPr>
              <w:t>608.082</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b/>
                <w:bCs/>
                <w:sz w:val="16"/>
                <w:szCs w:val="16"/>
              </w:rPr>
            </w:pPr>
            <w:r>
              <w:rPr>
                <w:b/>
                <w:bCs/>
                <w:sz w:val="16"/>
                <w:szCs w:val="16"/>
              </w:rPr>
              <w:t>67.486</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b/>
                <w:bCs/>
                <w:sz w:val="16"/>
                <w:szCs w:val="16"/>
              </w:rPr>
            </w:pPr>
            <w:r>
              <w:rPr>
                <w:b/>
                <w:bCs/>
                <w:sz w:val="16"/>
                <w:szCs w:val="16"/>
              </w:rPr>
              <w:t>0,00</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b/>
                <w:bCs/>
                <w:sz w:val="16"/>
                <w:szCs w:val="16"/>
              </w:rPr>
            </w:pPr>
            <w:r>
              <w:rPr>
                <w:b/>
                <w:bCs/>
                <w:sz w:val="16"/>
                <w:szCs w:val="16"/>
              </w:rPr>
              <w:t>540.596</w:t>
            </w:r>
          </w:p>
        </w:tc>
        <w:tc>
          <w:tcPr>
            <w:tcW w:w="0" w:type="auto"/>
            <w:tcBorders>
              <w:top w:val="nil"/>
              <w:left w:val="nil"/>
              <w:bottom w:val="single" w:sz="4" w:space="0" w:color="000000"/>
              <w:right w:val="single" w:sz="4" w:space="0" w:color="000000"/>
            </w:tcBorders>
            <w:vAlign w:val="bottom"/>
            <w:hideMark/>
          </w:tcPr>
          <w:p w:rsidR="00000000" w:rsidRDefault="00DD1D9C">
            <w:pPr>
              <w:jc w:val="right"/>
              <w:rPr>
                <w:b/>
                <w:bCs/>
                <w:sz w:val="16"/>
                <w:szCs w:val="16"/>
              </w:rPr>
            </w:pPr>
          </w:p>
        </w:tc>
        <w:tc>
          <w:tcPr>
            <w:tcW w:w="0" w:type="auto"/>
            <w:tcBorders>
              <w:top w:val="nil"/>
              <w:left w:val="nil"/>
              <w:bottom w:val="single" w:sz="4" w:space="0" w:color="000000"/>
              <w:right w:val="single" w:sz="4" w:space="0" w:color="000000"/>
            </w:tcBorders>
            <w:vAlign w:val="bottom"/>
            <w:hideMark/>
          </w:tcPr>
          <w:p w:rsidR="00000000" w:rsidRDefault="00DD1D9C">
            <w:pPr>
              <w:rPr>
                <w:b/>
                <w:bCs/>
                <w:sz w:val="16"/>
                <w:szCs w:val="16"/>
              </w:rPr>
            </w:pPr>
            <w:r>
              <w:rPr>
                <w:b/>
                <w:bCs/>
                <w:sz w:val="16"/>
                <w:szCs w:val="16"/>
              </w:rPr>
              <w:t> </w:t>
            </w:r>
          </w:p>
        </w:tc>
        <w:tc>
          <w:tcPr>
            <w:tcW w:w="0" w:type="auto"/>
            <w:tcBorders>
              <w:top w:val="nil"/>
              <w:left w:val="nil"/>
              <w:bottom w:val="single" w:sz="4" w:space="0" w:color="000000"/>
              <w:right w:val="single" w:sz="8" w:space="0" w:color="000000"/>
            </w:tcBorders>
            <w:noWrap/>
            <w:vAlign w:val="bottom"/>
            <w:hideMark/>
          </w:tcPr>
          <w:p w:rsidR="00000000" w:rsidRDefault="00DD1D9C">
            <w:pPr>
              <w:rPr>
                <w:b/>
                <w:bCs/>
                <w:sz w:val="16"/>
                <w:szCs w:val="16"/>
              </w:rPr>
            </w:pPr>
            <w:r>
              <w:rPr>
                <w:b/>
                <w:bCs/>
                <w:sz w:val="16"/>
                <w:szCs w:val="16"/>
              </w:rPr>
              <w:t> </w:t>
            </w:r>
          </w:p>
        </w:tc>
      </w:tr>
      <w:tr w:rsidR="00000000">
        <w:trPr>
          <w:trHeight w:val="553"/>
        </w:trPr>
        <w:tc>
          <w:tcPr>
            <w:tcW w:w="2635" w:type="dxa"/>
            <w:tcBorders>
              <w:top w:val="nil"/>
              <w:left w:val="single" w:sz="8" w:space="0" w:color="000000"/>
              <w:bottom w:val="single" w:sz="4" w:space="0" w:color="000000"/>
              <w:right w:val="single" w:sz="8" w:space="0" w:color="000000"/>
            </w:tcBorders>
            <w:vAlign w:val="center"/>
            <w:hideMark/>
          </w:tcPr>
          <w:p w:rsidR="00000000" w:rsidRDefault="00DD1D9C">
            <w:pPr>
              <w:rPr>
                <w:sz w:val="20"/>
                <w:szCs w:val="20"/>
              </w:rPr>
            </w:pPr>
            <w:r>
              <w:rPr>
                <w:sz w:val="20"/>
                <w:szCs w:val="20"/>
              </w:rPr>
              <w:t>B1. Inozemni kratkoročni zajmovi</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8" w:space="0" w:color="000000"/>
            </w:tcBorders>
            <w:noWrap/>
            <w:vAlign w:val="bottom"/>
            <w:hideMark/>
          </w:tcPr>
          <w:p w:rsidR="00000000" w:rsidRDefault="00DD1D9C">
            <w:pPr>
              <w:rPr>
                <w:sz w:val="20"/>
                <w:szCs w:val="20"/>
              </w:rPr>
            </w:pPr>
            <w:r>
              <w:rPr>
                <w:sz w:val="20"/>
                <w:szCs w:val="20"/>
              </w:rPr>
              <w:t> </w:t>
            </w:r>
          </w:p>
        </w:tc>
      </w:tr>
      <w:tr w:rsidR="00000000">
        <w:trPr>
          <w:trHeight w:val="419"/>
        </w:trPr>
        <w:tc>
          <w:tcPr>
            <w:tcW w:w="2635" w:type="dxa"/>
            <w:tcBorders>
              <w:top w:val="nil"/>
              <w:left w:val="single" w:sz="8" w:space="0" w:color="000000"/>
              <w:bottom w:val="single" w:sz="4" w:space="0" w:color="000000"/>
              <w:right w:val="single" w:sz="8" w:space="0" w:color="000000"/>
            </w:tcBorders>
            <w:vAlign w:val="center"/>
            <w:hideMark/>
          </w:tcPr>
          <w:p w:rsidR="00000000" w:rsidRDefault="00DD1D9C">
            <w:pPr>
              <w:rPr>
                <w:b/>
                <w:bCs/>
                <w:sz w:val="20"/>
                <w:szCs w:val="20"/>
              </w:rPr>
            </w:pPr>
            <w:r>
              <w:rPr>
                <w:b/>
                <w:bCs/>
                <w:sz w:val="20"/>
                <w:szCs w:val="20"/>
              </w:rPr>
              <w:t xml:space="preserve">UKUPNO POD B1.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4" w:space="0" w:color="000000"/>
              <w:right w:val="single" w:sz="8" w:space="0" w:color="000000"/>
            </w:tcBorders>
            <w:noWrap/>
            <w:vAlign w:val="bottom"/>
            <w:hideMark/>
          </w:tcPr>
          <w:p w:rsidR="00000000" w:rsidRDefault="00DD1D9C">
            <w:pPr>
              <w:rPr>
                <w:b/>
                <w:bCs/>
                <w:sz w:val="20"/>
                <w:szCs w:val="20"/>
              </w:rPr>
            </w:pPr>
            <w:r>
              <w:rPr>
                <w:b/>
                <w:bCs/>
                <w:sz w:val="20"/>
                <w:szCs w:val="20"/>
              </w:rPr>
              <w:t> </w:t>
            </w:r>
          </w:p>
        </w:tc>
      </w:tr>
      <w:tr w:rsidR="00000000">
        <w:trPr>
          <w:trHeight w:val="425"/>
        </w:trPr>
        <w:tc>
          <w:tcPr>
            <w:tcW w:w="2635" w:type="dxa"/>
            <w:tcBorders>
              <w:top w:val="nil"/>
              <w:left w:val="single" w:sz="8" w:space="0" w:color="000000"/>
              <w:bottom w:val="single" w:sz="4" w:space="0" w:color="000000"/>
              <w:right w:val="single" w:sz="8" w:space="0" w:color="000000"/>
            </w:tcBorders>
            <w:vAlign w:val="center"/>
            <w:hideMark/>
          </w:tcPr>
          <w:p w:rsidR="00000000" w:rsidRDefault="00DD1D9C">
            <w:pPr>
              <w:rPr>
                <w:sz w:val="20"/>
                <w:szCs w:val="20"/>
              </w:rPr>
            </w:pPr>
            <w:r>
              <w:rPr>
                <w:sz w:val="20"/>
                <w:szCs w:val="20"/>
              </w:rPr>
              <w:t>B2. Inozemni dugoročni zajmovi</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4" w:space="0" w:color="000000"/>
            </w:tcBorders>
            <w:vAlign w:val="bottom"/>
            <w:hideMark/>
          </w:tcPr>
          <w:p w:rsidR="00000000" w:rsidRDefault="00DD1D9C">
            <w:pPr>
              <w:rPr>
                <w:sz w:val="20"/>
                <w:szCs w:val="20"/>
              </w:rPr>
            </w:pPr>
            <w:r>
              <w:rPr>
                <w:sz w:val="20"/>
                <w:szCs w:val="20"/>
              </w:rPr>
              <w:t> </w:t>
            </w:r>
          </w:p>
        </w:tc>
        <w:tc>
          <w:tcPr>
            <w:tcW w:w="0" w:type="auto"/>
            <w:tcBorders>
              <w:top w:val="nil"/>
              <w:left w:val="nil"/>
              <w:bottom w:val="single" w:sz="4" w:space="0" w:color="000000"/>
              <w:right w:val="single" w:sz="8" w:space="0" w:color="000000"/>
            </w:tcBorders>
            <w:noWrap/>
            <w:vAlign w:val="bottom"/>
            <w:hideMark/>
          </w:tcPr>
          <w:p w:rsidR="00000000" w:rsidRDefault="00DD1D9C">
            <w:pPr>
              <w:rPr>
                <w:sz w:val="20"/>
                <w:szCs w:val="20"/>
              </w:rPr>
            </w:pPr>
            <w:r>
              <w:rPr>
                <w:sz w:val="20"/>
                <w:szCs w:val="20"/>
              </w:rPr>
              <w:t> </w:t>
            </w:r>
          </w:p>
        </w:tc>
      </w:tr>
      <w:tr w:rsidR="00000000">
        <w:trPr>
          <w:trHeight w:val="425"/>
        </w:trPr>
        <w:tc>
          <w:tcPr>
            <w:tcW w:w="2635" w:type="dxa"/>
            <w:tcBorders>
              <w:top w:val="nil"/>
              <w:left w:val="single" w:sz="8" w:space="0" w:color="000000"/>
              <w:bottom w:val="single" w:sz="8" w:space="0" w:color="000000"/>
              <w:right w:val="single" w:sz="8" w:space="0" w:color="000000"/>
            </w:tcBorders>
            <w:vAlign w:val="center"/>
            <w:hideMark/>
          </w:tcPr>
          <w:p w:rsidR="00000000" w:rsidRDefault="00DD1D9C">
            <w:pPr>
              <w:rPr>
                <w:b/>
                <w:bCs/>
                <w:sz w:val="20"/>
                <w:szCs w:val="20"/>
              </w:rPr>
            </w:pPr>
            <w:r>
              <w:rPr>
                <w:b/>
                <w:bCs/>
                <w:sz w:val="20"/>
                <w:szCs w:val="20"/>
              </w:rPr>
              <w:t>UKUP</w:t>
            </w:r>
            <w:r>
              <w:rPr>
                <w:b/>
                <w:bCs/>
                <w:sz w:val="20"/>
                <w:szCs w:val="20"/>
              </w:rPr>
              <w:t>NO POD B2.</w:t>
            </w:r>
          </w:p>
        </w:tc>
        <w:tc>
          <w:tcPr>
            <w:tcW w:w="0" w:type="auto"/>
            <w:tcBorders>
              <w:top w:val="nil"/>
              <w:left w:val="nil"/>
              <w:bottom w:val="single" w:sz="8"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8"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8"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8"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8"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8" w:space="0" w:color="000000"/>
              <w:right w:val="single" w:sz="4" w:space="0" w:color="000000"/>
            </w:tcBorders>
            <w:vAlign w:val="bottom"/>
            <w:hideMark/>
          </w:tcPr>
          <w:p w:rsidR="00000000" w:rsidRDefault="00DD1D9C">
            <w:pPr>
              <w:rPr>
                <w:b/>
                <w:bCs/>
                <w:sz w:val="20"/>
                <w:szCs w:val="20"/>
              </w:rPr>
            </w:pPr>
            <w:r>
              <w:rPr>
                <w:b/>
                <w:bCs/>
                <w:sz w:val="20"/>
                <w:szCs w:val="20"/>
              </w:rPr>
              <w:t> </w:t>
            </w:r>
          </w:p>
        </w:tc>
        <w:tc>
          <w:tcPr>
            <w:tcW w:w="0" w:type="auto"/>
            <w:tcBorders>
              <w:top w:val="nil"/>
              <w:left w:val="nil"/>
              <w:bottom w:val="single" w:sz="8" w:space="0" w:color="000000"/>
              <w:right w:val="single" w:sz="8" w:space="0" w:color="000000"/>
            </w:tcBorders>
            <w:noWrap/>
            <w:vAlign w:val="bottom"/>
            <w:hideMark/>
          </w:tcPr>
          <w:p w:rsidR="00000000" w:rsidRDefault="00DD1D9C">
            <w:pPr>
              <w:rPr>
                <w:b/>
                <w:bCs/>
                <w:sz w:val="20"/>
                <w:szCs w:val="20"/>
              </w:rPr>
            </w:pPr>
            <w:r>
              <w:rPr>
                <w:b/>
                <w:bCs/>
                <w:sz w:val="20"/>
                <w:szCs w:val="20"/>
              </w:rPr>
              <w:t> </w:t>
            </w:r>
          </w:p>
        </w:tc>
      </w:tr>
      <w:tr w:rsidR="00000000">
        <w:trPr>
          <w:trHeight w:val="390"/>
        </w:trPr>
        <w:tc>
          <w:tcPr>
            <w:tcW w:w="2635" w:type="dxa"/>
            <w:tcBorders>
              <w:top w:val="nil"/>
              <w:left w:val="nil"/>
              <w:bottom w:val="single" w:sz="4" w:space="0" w:color="auto"/>
              <w:right w:val="nil"/>
            </w:tcBorders>
            <w:noWrap/>
            <w:vAlign w:val="bottom"/>
            <w:hideMark/>
          </w:tcPr>
          <w:p w:rsidR="00000000" w:rsidRDefault="00DD1D9C">
            <w:pPr>
              <w:jc w:val="center"/>
              <w:rPr>
                <w:b/>
                <w:bCs/>
                <w:sz w:val="20"/>
                <w:szCs w:val="20"/>
              </w:rPr>
            </w:pPr>
            <w:r>
              <w:rPr>
                <w:b/>
                <w:bCs/>
                <w:sz w:val="20"/>
                <w:szCs w:val="20"/>
              </w:rPr>
              <w:t>Tablica kamata na zajmove</w:t>
            </w:r>
          </w:p>
        </w:tc>
        <w:tc>
          <w:tcPr>
            <w:tcW w:w="0" w:type="auto"/>
            <w:tcBorders>
              <w:top w:val="nil"/>
              <w:left w:val="nil"/>
              <w:bottom w:val="single" w:sz="4" w:space="0" w:color="auto"/>
              <w:right w:val="nil"/>
            </w:tcBorders>
            <w:noWrap/>
            <w:vAlign w:val="bottom"/>
            <w:hideMark/>
          </w:tcPr>
          <w:p w:rsidR="00000000" w:rsidRDefault="00DD1D9C">
            <w:pPr>
              <w:jc w:val="center"/>
              <w:rPr>
                <w:b/>
                <w:bCs/>
                <w:sz w:val="20"/>
                <w:szCs w:val="20"/>
              </w:rPr>
            </w:pPr>
            <w:r>
              <w:rPr>
                <w:b/>
                <w:bCs/>
                <w:sz w:val="20"/>
                <w:szCs w:val="20"/>
              </w:rPr>
              <w:t> </w:t>
            </w:r>
          </w:p>
        </w:tc>
        <w:tc>
          <w:tcPr>
            <w:tcW w:w="0" w:type="auto"/>
            <w:tcBorders>
              <w:top w:val="nil"/>
              <w:left w:val="nil"/>
              <w:bottom w:val="single" w:sz="4" w:space="0" w:color="auto"/>
              <w:right w:val="nil"/>
            </w:tcBorders>
            <w:noWrap/>
            <w:vAlign w:val="bottom"/>
            <w:hideMark/>
          </w:tcPr>
          <w:p w:rsidR="00000000" w:rsidRDefault="00DD1D9C">
            <w:pPr>
              <w:jc w:val="center"/>
              <w:rPr>
                <w:b/>
                <w:bCs/>
                <w:sz w:val="20"/>
                <w:szCs w:val="20"/>
              </w:rPr>
            </w:pPr>
            <w:r>
              <w:rPr>
                <w:b/>
                <w:bCs/>
                <w:sz w:val="20"/>
                <w:szCs w:val="20"/>
              </w:rPr>
              <w:t> </w:t>
            </w:r>
          </w:p>
        </w:tc>
        <w:tc>
          <w:tcPr>
            <w:tcW w:w="0" w:type="auto"/>
            <w:tcBorders>
              <w:top w:val="nil"/>
              <w:left w:val="nil"/>
              <w:bottom w:val="nil"/>
              <w:right w:val="nil"/>
            </w:tcBorders>
            <w:noWrap/>
            <w:vAlign w:val="bottom"/>
            <w:hideMark/>
          </w:tcPr>
          <w:p w:rsidR="00000000" w:rsidRDefault="00DD1D9C">
            <w:pPr>
              <w:rPr>
                <w:b/>
                <w:bCs/>
                <w:sz w:val="20"/>
                <w:szCs w:val="20"/>
              </w:rPr>
            </w:pPr>
          </w:p>
        </w:tc>
        <w:tc>
          <w:tcPr>
            <w:tcW w:w="0" w:type="auto"/>
            <w:tcBorders>
              <w:top w:val="nil"/>
              <w:left w:val="nil"/>
              <w:bottom w:val="nil"/>
              <w:right w:val="nil"/>
            </w:tcBorders>
            <w:noWrap/>
            <w:vAlign w:val="bottom"/>
            <w:hideMark/>
          </w:tcPr>
          <w:p w:rsidR="00000000" w:rsidRDefault="00DD1D9C">
            <w:pPr>
              <w:rPr>
                <w:b/>
                <w:bCs/>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b/>
                <w:bCs/>
                <w:sz w:val="20"/>
                <w:szCs w:val="20"/>
              </w:rPr>
            </w:pPr>
          </w:p>
        </w:tc>
        <w:tc>
          <w:tcPr>
            <w:tcW w:w="0" w:type="auto"/>
            <w:tcBorders>
              <w:top w:val="nil"/>
              <w:left w:val="nil"/>
              <w:bottom w:val="nil"/>
              <w:right w:val="nil"/>
            </w:tcBorders>
            <w:noWrap/>
            <w:vAlign w:val="bottom"/>
            <w:hideMark/>
          </w:tcPr>
          <w:p w:rsidR="00000000" w:rsidRDefault="00DD1D9C">
            <w:pPr>
              <w:rPr>
                <w:b/>
                <w:bCs/>
                <w:sz w:val="20"/>
                <w:szCs w:val="20"/>
              </w:rPr>
            </w:pPr>
          </w:p>
        </w:tc>
      </w:tr>
      <w:tr w:rsidR="00000000">
        <w:trPr>
          <w:trHeight w:val="1170"/>
        </w:trPr>
        <w:tc>
          <w:tcPr>
            <w:tcW w:w="2635" w:type="dxa"/>
            <w:tcBorders>
              <w:top w:val="nil"/>
              <w:left w:val="single" w:sz="4" w:space="0" w:color="auto"/>
              <w:bottom w:val="single" w:sz="4" w:space="0" w:color="auto"/>
              <w:right w:val="single" w:sz="4" w:space="0" w:color="auto"/>
            </w:tcBorders>
            <w:noWrap/>
            <w:vAlign w:val="bottom"/>
            <w:hideMark/>
          </w:tcPr>
          <w:p w:rsidR="00000000" w:rsidRDefault="00DD1D9C">
            <w:pPr>
              <w:jc w:val="center"/>
              <w:rPr>
                <w:b/>
                <w:bCs/>
                <w:sz w:val="18"/>
                <w:szCs w:val="18"/>
              </w:rPr>
            </w:pPr>
            <w:r>
              <w:rPr>
                <w:b/>
                <w:bCs/>
                <w:sz w:val="18"/>
                <w:szCs w:val="18"/>
              </w:rPr>
              <w:t>Opis</w:t>
            </w:r>
          </w:p>
        </w:tc>
        <w:tc>
          <w:tcPr>
            <w:tcW w:w="0" w:type="auto"/>
            <w:tcBorders>
              <w:top w:val="nil"/>
              <w:left w:val="nil"/>
              <w:bottom w:val="single" w:sz="4" w:space="0" w:color="auto"/>
              <w:right w:val="single" w:sz="4" w:space="0" w:color="auto"/>
            </w:tcBorders>
            <w:noWrap/>
            <w:vAlign w:val="bottom"/>
            <w:hideMark/>
          </w:tcPr>
          <w:p w:rsidR="00000000" w:rsidRDefault="00DD1D9C">
            <w:pPr>
              <w:jc w:val="center"/>
              <w:rPr>
                <w:b/>
                <w:bCs/>
                <w:sz w:val="18"/>
                <w:szCs w:val="18"/>
              </w:rPr>
            </w:pPr>
            <w:r>
              <w:rPr>
                <w:b/>
                <w:bCs/>
                <w:sz w:val="18"/>
                <w:szCs w:val="18"/>
              </w:rPr>
              <w:t>Stanje 01.01.</w:t>
            </w:r>
          </w:p>
        </w:tc>
        <w:tc>
          <w:tcPr>
            <w:tcW w:w="0" w:type="auto"/>
            <w:tcBorders>
              <w:top w:val="nil"/>
              <w:left w:val="nil"/>
              <w:bottom w:val="single" w:sz="4" w:space="0" w:color="auto"/>
              <w:right w:val="single" w:sz="4" w:space="0" w:color="auto"/>
            </w:tcBorders>
            <w:vAlign w:val="bottom"/>
            <w:hideMark/>
          </w:tcPr>
          <w:p w:rsidR="00000000" w:rsidRDefault="00DD1D9C">
            <w:pPr>
              <w:jc w:val="center"/>
              <w:rPr>
                <w:b/>
                <w:bCs/>
                <w:sz w:val="18"/>
                <w:szCs w:val="18"/>
              </w:rPr>
            </w:pPr>
            <w:r>
              <w:rPr>
                <w:b/>
                <w:bCs/>
                <w:sz w:val="18"/>
                <w:szCs w:val="18"/>
              </w:rPr>
              <w:t>Kamate dospjele u tekućoj godini</w:t>
            </w:r>
          </w:p>
        </w:tc>
        <w:tc>
          <w:tcPr>
            <w:tcW w:w="0" w:type="auto"/>
            <w:tcBorders>
              <w:top w:val="single" w:sz="4" w:space="0" w:color="auto"/>
              <w:left w:val="nil"/>
              <w:bottom w:val="single" w:sz="4" w:space="0" w:color="auto"/>
              <w:right w:val="single" w:sz="4" w:space="0" w:color="auto"/>
            </w:tcBorders>
            <w:vAlign w:val="bottom"/>
            <w:hideMark/>
          </w:tcPr>
          <w:p w:rsidR="00000000" w:rsidRDefault="00DD1D9C">
            <w:pPr>
              <w:jc w:val="center"/>
              <w:rPr>
                <w:b/>
                <w:bCs/>
                <w:sz w:val="18"/>
                <w:szCs w:val="18"/>
              </w:rPr>
            </w:pPr>
            <w:r>
              <w:rPr>
                <w:b/>
                <w:bCs/>
                <w:sz w:val="18"/>
                <w:szCs w:val="18"/>
              </w:rPr>
              <w:t>Kamate plaćene u tekućoj godini</w:t>
            </w:r>
          </w:p>
        </w:tc>
        <w:tc>
          <w:tcPr>
            <w:tcW w:w="0" w:type="auto"/>
            <w:tcBorders>
              <w:top w:val="single" w:sz="4" w:space="0" w:color="auto"/>
              <w:left w:val="nil"/>
              <w:bottom w:val="single" w:sz="4" w:space="0" w:color="auto"/>
              <w:right w:val="single" w:sz="4" w:space="0" w:color="auto"/>
            </w:tcBorders>
            <w:vAlign w:val="bottom"/>
            <w:hideMark/>
          </w:tcPr>
          <w:p w:rsidR="00000000" w:rsidRDefault="00DD1D9C">
            <w:pPr>
              <w:jc w:val="center"/>
              <w:rPr>
                <w:b/>
                <w:bCs/>
                <w:sz w:val="18"/>
                <w:szCs w:val="18"/>
              </w:rPr>
            </w:pPr>
            <w:r>
              <w:rPr>
                <w:b/>
                <w:bCs/>
                <w:sz w:val="18"/>
                <w:szCs w:val="18"/>
              </w:rPr>
              <w:t>Stanje 30.06. (2+3+4)</w:t>
            </w: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r>
      <w:tr w:rsidR="00000000">
        <w:trPr>
          <w:trHeight w:val="435"/>
        </w:trPr>
        <w:tc>
          <w:tcPr>
            <w:tcW w:w="2635" w:type="dxa"/>
            <w:tcBorders>
              <w:top w:val="nil"/>
              <w:left w:val="single" w:sz="4" w:space="0" w:color="auto"/>
              <w:bottom w:val="single" w:sz="4" w:space="0" w:color="auto"/>
              <w:right w:val="single" w:sz="4" w:space="0" w:color="auto"/>
            </w:tcBorders>
            <w:noWrap/>
            <w:vAlign w:val="bottom"/>
            <w:hideMark/>
          </w:tcPr>
          <w:p w:rsidR="00000000" w:rsidRDefault="00DD1D9C">
            <w:pPr>
              <w:jc w:val="center"/>
              <w:rPr>
                <w:sz w:val="20"/>
                <w:szCs w:val="20"/>
              </w:rPr>
            </w:pPr>
            <w:r>
              <w:rPr>
                <w:sz w:val="20"/>
                <w:szCs w:val="20"/>
              </w:rPr>
              <w:t>1</w:t>
            </w:r>
          </w:p>
        </w:tc>
        <w:tc>
          <w:tcPr>
            <w:tcW w:w="0" w:type="auto"/>
            <w:tcBorders>
              <w:top w:val="nil"/>
              <w:left w:val="nil"/>
              <w:bottom w:val="single" w:sz="4" w:space="0" w:color="auto"/>
              <w:right w:val="single" w:sz="4" w:space="0" w:color="auto"/>
            </w:tcBorders>
            <w:noWrap/>
            <w:vAlign w:val="bottom"/>
            <w:hideMark/>
          </w:tcPr>
          <w:p w:rsidR="00000000" w:rsidRDefault="00DD1D9C">
            <w:pPr>
              <w:jc w:val="center"/>
              <w:rPr>
                <w:sz w:val="20"/>
                <w:szCs w:val="20"/>
              </w:rPr>
            </w:pPr>
            <w:r>
              <w:rPr>
                <w:sz w:val="20"/>
                <w:szCs w:val="20"/>
              </w:rPr>
              <w:t>2</w:t>
            </w:r>
          </w:p>
        </w:tc>
        <w:tc>
          <w:tcPr>
            <w:tcW w:w="0" w:type="auto"/>
            <w:tcBorders>
              <w:top w:val="nil"/>
              <w:left w:val="nil"/>
              <w:bottom w:val="single" w:sz="4" w:space="0" w:color="auto"/>
              <w:right w:val="single" w:sz="4" w:space="0" w:color="auto"/>
            </w:tcBorders>
            <w:noWrap/>
            <w:vAlign w:val="bottom"/>
            <w:hideMark/>
          </w:tcPr>
          <w:p w:rsidR="00000000" w:rsidRDefault="00DD1D9C">
            <w:pPr>
              <w:jc w:val="center"/>
              <w:rPr>
                <w:sz w:val="20"/>
                <w:szCs w:val="20"/>
              </w:rPr>
            </w:pPr>
            <w:r>
              <w:rPr>
                <w:sz w:val="20"/>
                <w:szCs w:val="20"/>
              </w:rPr>
              <w:t>3</w:t>
            </w:r>
          </w:p>
        </w:tc>
        <w:tc>
          <w:tcPr>
            <w:tcW w:w="0" w:type="auto"/>
            <w:tcBorders>
              <w:top w:val="nil"/>
              <w:left w:val="nil"/>
              <w:bottom w:val="single" w:sz="4" w:space="0" w:color="auto"/>
              <w:right w:val="single" w:sz="4" w:space="0" w:color="auto"/>
            </w:tcBorders>
            <w:noWrap/>
            <w:vAlign w:val="bottom"/>
            <w:hideMark/>
          </w:tcPr>
          <w:p w:rsidR="00000000" w:rsidRDefault="00DD1D9C">
            <w:pPr>
              <w:jc w:val="center"/>
              <w:rPr>
                <w:sz w:val="20"/>
                <w:szCs w:val="20"/>
              </w:rPr>
            </w:pPr>
            <w:r>
              <w:rPr>
                <w:sz w:val="20"/>
                <w:szCs w:val="20"/>
              </w:rPr>
              <w:t>4</w:t>
            </w:r>
          </w:p>
        </w:tc>
        <w:tc>
          <w:tcPr>
            <w:tcW w:w="0" w:type="auto"/>
            <w:tcBorders>
              <w:top w:val="nil"/>
              <w:left w:val="nil"/>
              <w:bottom w:val="single" w:sz="4" w:space="0" w:color="auto"/>
              <w:right w:val="single" w:sz="4" w:space="0" w:color="auto"/>
            </w:tcBorders>
            <w:noWrap/>
            <w:vAlign w:val="bottom"/>
            <w:hideMark/>
          </w:tcPr>
          <w:p w:rsidR="00000000" w:rsidRDefault="00DD1D9C">
            <w:pPr>
              <w:jc w:val="center"/>
              <w:rPr>
                <w:sz w:val="20"/>
                <w:szCs w:val="20"/>
              </w:rPr>
            </w:pPr>
            <w:r>
              <w:rPr>
                <w:sz w:val="20"/>
                <w:szCs w:val="20"/>
              </w:rPr>
              <w:t>5</w:t>
            </w: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r>
      <w:tr w:rsidR="00000000">
        <w:trPr>
          <w:trHeight w:val="525"/>
        </w:trPr>
        <w:tc>
          <w:tcPr>
            <w:tcW w:w="2635" w:type="dxa"/>
            <w:tcBorders>
              <w:top w:val="nil"/>
              <w:left w:val="single" w:sz="4" w:space="0" w:color="auto"/>
              <w:bottom w:val="single" w:sz="4" w:space="0" w:color="auto"/>
              <w:right w:val="single" w:sz="4" w:space="0" w:color="auto"/>
            </w:tcBorders>
            <w:vAlign w:val="bottom"/>
            <w:hideMark/>
          </w:tcPr>
          <w:p w:rsidR="00000000" w:rsidRDefault="00DD1D9C">
            <w:pPr>
              <w:rPr>
                <w:b/>
                <w:bCs/>
                <w:sz w:val="18"/>
                <w:szCs w:val="18"/>
              </w:rPr>
            </w:pPr>
            <w:r>
              <w:rPr>
                <w:b/>
                <w:bCs/>
                <w:sz w:val="18"/>
                <w:szCs w:val="18"/>
              </w:rPr>
              <w:t>A Kamate po primljenim zajmovima</w:t>
            </w:r>
          </w:p>
        </w:tc>
        <w:tc>
          <w:tcPr>
            <w:tcW w:w="0" w:type="auto"/>
            <w:tcBorders>
              <w:top w:val="nil"/>
              <w:left w:val="nil"/>
              <w:bottom w:val="single" w:sz="4" w:space="0" w:color="auto"/>
              <w:right w:val="single" w:sz="4" w:space="0" w:color="auto"/>
            </w:tcBorders>
            <w:noWrap/>
            <w:vAlign w:val="bottom"/>
            <w:hideMark/>
          </w:tcPr>
          <w:p w:rsidR="00000000" w:rsidRDefault="00DD1D9C">
            <w:pPr>
              <w:rPr>
                <w:sz w:val="18"/>
                <w:szCs w:val="18"/>
              </w:rPr>
            </w:pPr>
            <w:r>
              <w:rPr>
                <w:sz w:val="18"/>
                <w:szCs w:val="18"/>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18"/>
                <w:szCs w:val="18"/>
              </w:rPr>
            </w:pPr>
            <w:r>
              <w:rPr>
                <w:sz w:val="18"/>
                <w:szCs w:val="18"/>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18"/>
                <w:szCs w:val="18"/>
              </w:rPr>
            </w:pPr>
            <w:r>
              <w:rPr>
                <w:sz w:val="18"/>
                <w:szCs w:val="18"/>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18"/>
                <w:szCs w:val="18"/>
              </w:rPr>
            </w:pPr>
            <w:r>
              <w:rPr>
                <w:sz w:val="18"/>
                <w:szCs w:val="18"/>
              </w:rPr>
              <w:t> </w:t>
            </w: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r>
      <w:tr w:rsidR="00000000">
        <w:trPr>
          <w:trHeight w:val="525"/>
        </w:trPr>
        <w:tc>
          <w:tcPr>
            <w:tcW w:w="2635" w:type="dxa"/>
            <w:tcBorders>
              <w:top w:val="nil"/>
              <w:left w:val="single" w:sz="4" w:space="0" w:color="auto"/>
              <w:bottom w:val="single" w:sz="4" w:space="0" w:color="auto"/>
              <w:right w:val="single" w:sz="4" w:space="0" w:color="auto"/>
            </w:tcBorders>
            <w:vAlign w:val="bottom"/>
            <w:hideMark/>
          </w:tcPr>
          <w:p w:rsidR="00000000" w:rsidRDefault="00DD1D9C">
            <w:pPr>
              <w:rPr>
                <w:b/>
                <w:bCs/>
                <w:sz w:val="18"/>
                <w:szCs w:val="18"/>
              </w:rPr>
            </w:pPr>
            <w:r>
              <w:rPr>
                <w:b/>
                <w:bCs/>
                <w:sz w:val="18"/>
                <w:szCs w:val="18"/>
              </w:rPr>
              <w:t>A.1. po tuzemnim zajmovim</w:t>
            </w:r>
            <w:r>
              <w:rPr>
                <w:b/>
                <w:bCs/>
                <w:sz w:val="18"/>
                <w:szCs w:val="18"/>
              </w:rPr>
              <w:t>a</w:t>
            </w:r>
          </w:p>
        </w:tc>
        <w:tc>
          <w:tcPr>
            <w:tcW w:w="0" w:type="auto"/>
            <w:tcBorders>
              <w:top w:val="nil"/>
              <w:left w:val="nil"/>
              <w:bottom w:val="single" w:sz="4" w:space="0" w:color="auto"/>
              <w:right w:val="single" w:sz="4" w:space="0" w:color="auto"/>
            </w:tcBorders>
            <w:noWrap/>
            <w:vAlign w:val="bottom"/>
            <w:hideMark/>
          </w:tcPr>
          <w:p w:rsidR="00000000" w:rsidRDefault="00DD1D9C">
            <w:pPr>
              <w:jc w:val="right"/>
              <w:rPr>
                <w:sz w:val="18"/>
                <w:szCs w:val="18"/>
              </w:rPr>
            </w:pPr>
          </w:p>
        </w:tc>
        <w:tc>
          <w:tcPr>
            <w:tcW w:w="0" w:type="auto"/>
            <w:tcBorders>
              <w:top w:val="nil"/>
              <w:left w:val="nil"/>
              <w:bottom w:val="single" w:sz="4" w:space="0" w:color="auto"/>
              <w:right w:val="single" w:sz="4" w:space="0" w:color="auto"/>
            </w:tcBorders>
            <w:noWrap/>
            <w:vAlign w:val="bottom"/>
            <w:hideMark/>
          </w:tcPr>
          <w:p w:rsidR="00000000" w:rsidRDefault="00DD1D9C">
            <w:pPr>
              <w:jc w:val="right"/>
              <w:rPr>
                <w:sz w:val="18"/>
                <w:szCs w:val="18"/>
              </w:rPr>
            </w:pPr>
            <w:r>
              <w:rPr>
                <w:sz w:val="18"/>
                <w:szCs w:val="18"/>
              </w:rPr>
              <w:t>13.908,76</w:t>
            </w:r>
          </w:p>
        </w:tc>
        <w:tc>
          <w:tcPr>
            <w:tcW w:w="0" w:type="auto"/>
            <w:tcBorders>
              <w:top w:val="nil"/>
              <w:left w:val="nil"/>
              <w:bottom w:val="single" w:sz="4" w:space="0" w:color="auto"/>
              <w:right w:val="single" w:sz="4" w:space="0" w:color="auto"/>
            </w:tcBorders>
            <w:noWrap/>
            <w:vAlign w:val="bottom"/>
            <w:hideMark/>
          </w:tcPr>
          <w:p w:rsidR="00000000" w:rsidRDefault="00DD1D9C">
            <w:pPr>
              <w:jc w:val="right"/>
              <w:rPr>
                <w:sz w:val="18"/>
                <w:szCs w:val="18"/>
              </w:rPr>
            </w:pPr>
            <w:r>
              <w:rPr>
                <w:sz w:val="18"/>
                <w:szCs w:val="18"/>
              </w:rPr>
              <w:t>13.908,76</w:t>
            </w:r>
          </w:p>
        </w:tc>
        <w:tc>
          <w:tcPr>
            <w:tcW w:w="0" w:type="auto"/>
            <w:tcBorders>
              <w:top w:val="nil"/>
              <w:left w:val="nil"/>
              <w:bottom w:val="single" w:sz="4" w:space="0" w:color="auto"/>
              <w:right w:val="single" w:sz="4" w:space="0" w:color="auto"/>
            </w:tcBorders>
            <w:noWrap/>
            <w:vAlign w:val="bottom"/>
            <w:hideMark/>
          </w:tcPr>
          <w:p w:rsidR="00000000" w:rsidRDefault="00DD1D9C">
            <w:pPr>
              <w:jc w:val="right"/>
              <w:rPr>
                <w:sz w:val="18"/>
                <w:szCs w:val="18"/>
              </w:rPr>
            </w:pPr>
            <w:r>
              <w:rPr>
                <w:sz w:val="18"/>
                <w:szCs w:val="18"/>
              </w:rPr>
              <w:t>0,00</w:t>
            </w: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r>
      <w:tr w:rsidR="00000000">
        <w:trPr>
          <w:trHeight w:val="615"/>
        </w:trPr>
        <w:tc>
          <w:tcPr>
            <w:tcW w:w="2635" w:type="dxa"/>
            <w:tcBorders>
              <w:top w:val="nil"/>
              <w:left w:val="single" w:sz="4" w:space="0" w:color="auto"/>
              <w:bottom w:val="single" w:sz="4" w:space="0" w:color="auto"/>
              <w:right w:val="single" w:sz="4" w:space="0" w:color="auto"/>
            </w:tcBorders>
            <w:vAlign w:val="bottom"/>
            <w:hideMark/>
          </w:tcPr>
          <w:p w:rsidR="00000000" w:rsidRDefault="00DD1D9C">
            <w:pPr>
              <w:rPr>
                <w:b/>
                <w:bCs/>
                <w:sz w:val="18"/>
                <w:szCs w:val="18"/>
              </w:rPr>
            </w:pPr>
            <w:r>
              <w:rPr>
                <w:b/>
                <w:bCs/>
                <w:sz w:val="18"/>
                <w:szCs w:val="18"/>
              </w:rPr>
              <w:t>A.2. po inozemnim zajmovima</w:t>
            </w:r>
          </w:p>
        </w:tc>
        <w:tc>
          <w:tcPr>
            <w:tcW w:w="0" w:type="auto"/>
            <w:tcBorders>
              <w:top w:val="nil"/>
              <w:left w:val="nil"/>
              <w:bottom w:val="single" w:sz="4" w:space="0" w:color="auto"/>
              <w:right w:val="single" w:sz="4" w:space="0" w:color="auto"/>
            </w:tcBorders>
            <w:noWrap/>
            <w:vAlign w:val="bottom"/>
            <w:hideMark/>
          </w:tcPr>
          <w:p w:rsidR="00000000" w:rsidRDefault="00DD1D9C">
            <w:pPr>
              <w:rPr>
                <w:sz w:val="18"/>
                <w:szCs w:val="18"/>
              </w:rPr>
            </w:pPr>
            <w:r>
              <w:rPr>
                <w:sz w:val="18"/>
                <w:szCs w:val="18"/>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18"/>
                <w:szCs w:val="18"/>
              </w:rPr>
            </w:pPr>
            <w:r>
              <w:rPr>
                <w:sz w:val="18"/>
                <w:szCs w:val="18"/>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18"/>
                <w:szCs w:val="18"/>
              </w:rPr>
            </w:pPr>
            <w:r>
              <w:rPr>
                <w:sz w:val="18"/>
                <w:szCs w:val="18"/>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18"/>
                <w:szCs w:val="18"/>
              </w:rPr>
            </w:pPr>
            <w:r>
              <w:rPr>
                <w:sz w:val="18"/>
                <w:szCs w:val="18"/>
              </w:rPr>
              <w:t> </w:t>
            </w: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r>
      <w:tr w:rsidR="00000000">
        <w:trPr>
          <w:trHeight w:val="315"/>
        </w:trPr>
        <w:tc>
          <w:tcPr>
            <w:tcW w:w="2635" w:type="dxa"/>
            <w:tcBorders>
              <w:top w:val="nil"/>
              <w:left w:val="single" w:sz="4" w:space="0" w:color="auto"/>
              <w:bottom w:val="single" w:sz="4" w:space="0" w:color="auto"/>
              <w:right w:val="single" w:sz="4" w:space="0" w:color="auto"/>
            </w:tcBorders>
            <w:noWrap/>
            <w:vAlign w:val="bottom"/>
            <w:hideMark/>
          </w:tcPr>
          <w:p w:rsidR="00000000" w:rsidRDefault="00DD1D9C">
            <w:pPr>
              <w:rPr>
                <w:b/>
                <w:bCs/>
                <w:sz w:val="18"/>
                <w:szCs w:val="18"/>
              </w:rPr>
            </w:pPr>
            <w:r>
              <w:rPr>
                <w:b/>
                <w:bCs/>
                <w:sz w:val="18"/>
                <w:szCs w:val="18"/>
              </w:rPr>
              <w:t>UKUPNO POD A</w:t>
            </w:r>
          </w:p>
        </w:tc>
        <w:tc>
          <w:tcPr>
            <w:tcW w:w="0" w:type="auto"/>
            <w:tcBorders>
              <w:top w:val="nil"/>
              <w:left w:val="nil"/>
              <w:bottom w:val="single" w:sz="4" w:space="0" w:color="auto"/>
              <w:right w:val="single" w:sz="4" w:space="0" w:color="auto"/>
            </w:tcBorders>
            <w:noWrap/>
            <w:vAlign w:val="bottom"/>
            <w:hideMark/>
          </w:tcPr>
          <w:p w:rsidR="00000000" w:rsidRDefault="00DD1D9C">
            <w:pPr>
              <w:jc w:val="right"/>
              <w:rPr>
                <w:sz w:val="18"/>
                <w:szCs w:val="18"/>
              </w:rPr>
            </w:pPr>
          </w:p>
        </w:tc>
        <w:tc>
          <w:tcPr>
            <w:tcW w:w="0" w:type="auto"/>
            <w:tcBorders>
              <w:top w:val="nil"/>
              <w:left w:val="nil"/>
              <w:bottom w:val="single" w:sz="4" w:space="0" w:color="auto"/>
              <w:right w:val="single" w:sz="4" w:space="0" w:color="auto"/>
            </w:tcBorders>
            <w:noWrap/>
            <w:vAlign w:val="bottom"/>
            <w:hideMark/>
          </w:tcPr>
          <w:p w:rsidR="00000000" w:rsidRDefault="00DD1D9C">
            <w:pPr>
              <w:jc w:val="right"/>
              <w:rPr>
                <w:sz w:val="18"/>
                <w:szCs w:val="18"/>
              </w:rPr>
            </w:pPr>
            <w:r>
              <w:rPr>
                <w:sz w:val="18"/>
                <w:szCs w:val="18"/>
              </w:rPr>
              <w:t>13.908,76</w:t>
            </w:r>
          </w:p>
        </w:tc>
        <w:tc>
          <w:tcPr>
            <w:tcW w:w="0" w:type="auto"/>
            <w:tcBorders>
              <w:top w:val="nil"/>
              <w:left w:val="nil"/>
              <w:bottom w:val="single" w:sz="4" w:space="0" w:color="auto"/>
              <w:right w:val="single" w:sz="4" w:space="0" w:color="auto"/>
            </w:tcBorders>
            <w:noWrap/>
            <w:vAlign w:val="bottom"/>
            <w:hideMark/>
          </w:tcPr>
          <w:p w:rsidR="00000000" w:rsidRDefault="00DD1D9C">
            <w:pPr>
              <w:jc w:val="right"/>
              <w:rPr>
                <w:sz w:val="18"/>
                <w:szCs w:val="18"/>
              </w:rPr>
            </w:pPr>
            <w:r>
              <w:rPr>
                <w:sz w:val="18"/>
                <w:szCs w:val="18"/>
              </w:rPr>
              <w:t>13.908,76</w:t>
            </w:r>
          </w:p>
        </w:tc>
        <w:tc>
          <w:tcPr>
            <w:tcW w:w="0" w:type="auto"/>
            <w:tcBorders>
              <w:top w:val="nil"/>
              <w:left w:val="nil"/>
              <w:bottom w:val="single" w:sz="4" w:space="0" w:color="auto"/>
              <w:right w:val="single" w:sz="4" w:space="0" w:color="auto"/>
            </w:tcBorders>
            <w:noWrap/>
            <w:vAlign w:val="bottom"/>
            <w:hideMark/>
          </w:tcPr>
          <w:p w:rsidR="00000000" w:rsidRDefault="00DD1D9C">
            <w:pPr>
              <w:jc w:val="right"/>
              <w:rPr>
                <w:sz w:val="18"/>
                <w:szCs w:val="18"/>
              </w:rPr>
            </w:pPr>
            <w:r>
              <w:rPr>
                <w:sz w:val="18"/>
                <w:szCs w:val="18"/>
              </w:rPr>
              <w:t>0,00</w:t>
            </w: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c>
          <w:tcPr>
            <w:tcW w:w="0" w:type="auto"/>
            <w:tcBorders>
              <w:top w:val="nil"/>
              <w:left w:val="nil"/>
              <w:bottom w:val="nil"/>
              <w:right w:val="nil"/>
            </w:tcBorders>
            <w:noWrap/>
            <w:vAlign w:val="bottom"/>
            <w:hideMark/>
          </w:tcPr>
          <w:p w:rsidR="00000000" w:rsidRDefault="00DD1D9C">
            <w:pPr>
              <w:rPr>
                <w:sz w:val="18"/>
                <w:szCs w:val="18"/>
              </w:rPr>
            </w:pPr>
          </w:p>
        </w:tc>
      </w:tr>
      <w:tr w:rsidR="00000000">
        <w:trPr>
          <w:trHeight w:val="600"/>
        </w:trPr>
        <w:tc>
          <w:tcPr>
            <w:tcW w:w="2635" w:type="dxa"/>
            <w:tcBorders>
              <w:top w:val="nil"/>
              <w:left w:val="single" w:sz="4" w:space="0" w:color="auto"/>
              <w:bottom w:val="single" w:sz="4" w:space="0" w:color="auto"/>
              <w:right w:val="single" w:sz="4" w:space="0" w:color="auto"/>
            </w:tcBorders>
            <w:vAlign w:val="bottom"/>
            <w:hideMark/>
          </w:tcPr>
          <w:p w:rsidR="00000000" w:rsidRDefault="00DD1D9C">
            <w:pPr>
              <w:rPr>
                <w:b/>
                <w:bCs/>
                <w:sz w:val="20"/>
                <w:szCs w:val="20"/>
              </w:rPr>
            </w:pPr>
            <w:r>
              <w:rPr>
                <w:b/>
                <w:bCs/>
                <w:sz w:val="20"/>
                <w:szCs w:val="20"/>
              </w:rPr>
              <w:t>B Kamate po danim zajmovima</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r>
      <w:tr w:rsidR="00000000">
        <w:trPr>
          <w:trHeight w:val="645"/>
        </w:trPr>
        <w:tc>
          <w:tcPr>
            <w:tcW w:w="2635" w:type="dxa"/>
            <w:tcBorders>
              <w:top w:val="nil"/>
              <w:left w:val="single" w:sz="4" w:space="0" w:color="auto"/>
              <w:bottom w:val="single" w:sz="4" w:space="0" w:color="auto"/>
              <w:right w:val="single" w:sz="4" w:space="0" w:color="auto"/>
            </w:tcBorders>
            <w:vAlign w:val="bottom"/>
            <w:hideMark/>
          </w:tcPr>
          <w:p w:rsidR="00000000" w:rsidRDefault="00DD1D9C">
            <w:pPr>
              <w:rPr>
                <w:b/>
                <w:bCs/>
                <w:sz w:val="20"/>
                <w:szCs w:val="20"/>
              </w:rPr>
            </w:pPr>
            <w:r>
              <w:rPr>
                <w:b/>
                <w:bCs/>
                <w:sz w:val="20"/>
                <w:szCs w:val="20"/>
              </w:rPr>
              <w:t>B.1. po tuzemnim zajmovima</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nil"/>
              <w:right w:val="nil"/>
            </w:tcBorders>
            <w:noWrap/>
            <w:vAlign w:val="bottom"/>
            <w:hideMark/>
          </w:tcPr>
          <w:p w:rsidR="00000000" w:rsidRDefault="00DD1D9C">
            <w:pPr>
              <w:rPr>
                <w:b/>
                <w:bCs/>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r>
      <w:tr w:rsidR="00000000">
        <w:trPr>
          <w:trHeight w:val="600"/>
        </w:trPr>
        <w:tc>
          <w:tcPr>
            <w:tcW w:w="2635" w:type="dxa"/>
            <w:tcBorders>
              <w:top w:val="nil"/>
              <w:left w:val="single" w:sz="4" w:space="0" w:color="auto"/>
              <w:bottom w:val="single" w:sz="4" w:space="0" w:color="auto"/>
              <w:right w:val="single" w:sz="4" w:space="0" w:color="auto"/>
            </w:tcBorders>
            <w:vAlign w:val="bottom"/>
            <w:hideMark/>
          </w:tcPr>
          <w:p w:rsidR="00000000" w:rsidRDefault="00DD1D9C">
            <w:pPr>
              <w:rPr>
                <w:b/>
                <w:bCs/>
                <w:sz w:val="20"/>
                <w:szCs w:val="20"/>
              </w:rPr>
            </w:pPr>
            <w:r>
              <w:rPr>
                <w:b/>
                <w:bCs/>
                <w:sz w:val="20"/>
                <w:szCs w:val="20"/>
              </w:rPr>
              <w:t>B.2. po inozemnim zajmovima</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r>
      <w:tr w:rsidR="00000000">
        <w:trPr>
          <w:trHeight w:val="330"/>
        </w:trPr>
        <w:tc>
          <w:tcPr>
            <w:tcW w:w="2635" w:type="dxa"/>
            <w:tcBorders>
              <w:top w:val="nil"/>
              <w:left w:val="single" w:sz="4" w:space="0" w:color="auto"/>
              <w:bottom w:val="single" w:sz="4" w:space="0" w:color="auto"/>
              <w:right w:val="single" w:sz="4" w:space="0" w:color="auto"/>
            </w:tcBorders>
            <w:vAlign w:val="bottom"/>
            <w:hideMark/>
          </w:tcPr>
          <w:p w:rsidR="00000000" w:rsidRDefault="00DD1D9C">
            <w:pPr>
              <w:rPr>
                <w:b/>
                <w:bCs/>
                <w:sz w:val="20"/>
                <w:szCs w:val="20"/>
              </w:rPr>
            </w:pPr>
            <w:r>
              <w:rPr>
                <w:b/>
                <w:bCs/>
                <w:sz w:val="20"/>
                <w:szCs w:val="20"/>
              </w:rPr>
              <w:t>UKUPNO POD B</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single" w:sz="4" w:space="0" w:color="auto"/>
              <w:right w:val="single" w:sz="4" w:space="0" w:color="auto"/>
            </w:tcBorders>
            <w:noWrap/>
            <w:vAlign w:val="bottom"/>
            <w:hideMark/>
          </w:tcPr>
          <w:p w:rsidR="00000000" w:rsidRDefault="00DD1D9C">
            <w:pPr>
              <w:rPr>
                <w:sz w:val="20"/>
                <w:szCs w:val="20"/>
              </w:rPr>
            </w:pPr>
            <w:r>
              <w:rPr>
                <w:sz w:val="20"/>
                <w:szCs w:val="20"/>
              </w:rPr>
              <w:t> </w:t>
            </w: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c>
          <w:tcPr>
            <w:tcW w:w="0" w:type="auto"/>
            <w:tcBorders>
              <w:top w:val="nil"/>
              <w:left w:val="nil"/>
              <w:bottom w:val="nil"/>
              <w:right w:val="nil"/>
            </w:tcBorders>
            <w:noWrap/>
            <w:vAlign w:val="bottom"/>
            <w:hideMark/>
          </w:tcPr>
          <w:p w:rsidR="00000000" w:rsidRDefault="00DD1D9C">
            <w:pPr>
              <w:rPr>
                <w:sz w:val="20"/>
                <w:szCs w:val="20"/>
              </w:rPr>
            </w:pPr>
          </w:p>
        </w:tc>
      </w:tr>
    </w:tbl>
    <w:p w:rsidR="00000000" w:rsidRDefault="00DD1D9C">
      <w:pPr>
        <w:pStyle w:val="NormalWeb"/>
        <w:spacing w:before="0" w:beforeAutospacing="0" w:after="0" w:afterAutospacing="0"/>
        <w:ind w:left="600"/>
        <w:rPr>
          <w:sz w:val="20"/>
          <w:szCs w:val="20"/>
        </w:rPr>
      </w:pPr>
    </w:p>
    <w:sectPr w:rsidR="00000000">
      <w:pgSz w:w="11906" w:h="16838"/>
      <w:pgMar w:top="567" w:right="1080" w:bottom="284"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C310B"/>
    <w:multiLevelType w:val="hybridMultilevel"/>
    <w:tmpl w:val="73CA7C98"/>
    <w:lvl w:ilvl="0" w:tplc="53F69154">
      <w:start w:val="1"/>
      <w:numFmt w:val="bullet"/>
      <w:lvlText w:val=""/>
      <w:lvlJc w:val="left"/>
      <w:pPr>
        <w:tabs>
          <w:tab w:val="num" w:pos="720"/>
        </w:tabs>
        <w:ind w:left="72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3E25E6"/>
    <w:multiLevelType w:val="hybridMultilevel"/>
    <w:tmpl w:val="4CDC10C6"/>
    <w:lvl w:ilvl="0" w:tplc="53F69154">
      <w:start w:val="1"/>
      <w:numFmt w:val="bullet"/>
      <w:lvlText w:val=""/>
      <w:lvlJc w:val="left"/>
      <w:pPr>
        <w:tabs>
          <w:tab w:val="num" w:pos="720"/>
        </w:tabs>
        <w:ind w:left="72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D73169"/>
    <w:multiLevelType w:val="hybridMultilevel"/>
    <w:tmpl w:val="9706590C"/>
    <w:lvl w:ilvl="0" w:tplc="041A0005">
      <w:start w:val="1"/>
      <w:numFmt w:val="bullet"/>
      <w:lvlText w:val=""/>
      <w:lvlJc w:val="left"/>
      <w:pPr>
        <w:tabs>
          <w:tab w:val="num" w:pos="720"/>
        </w:tabs>
        <w:ind w:left="72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2A7E1C"/>
    <w:multiLevelType w:val="hybridMultilevel"/>
    <w:tmpl w:val="E766DCE4"/>
    <w:lvl w:ilvl="0" w:tplc="94C0233A">
      <w:start w:val="4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487C66"/>
    <w:multiLevelType w:val="hybridMultilevel"/>
    <w:tmpl w:val="C166F374"/>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39E423C6"/>
    <w:multiLevelType w:val="hybridMultilevel"/>
    <w:tmpl w:val="E5F21B40"/>
    <w:lvl w:ilvl="0" w:tplc="041A0005">
      <w:start w:val="1"/>
      <w:numFmt w:val="bullet"/>
      <w:lvlText w:val=""/>
      <w:lvlJc w:val="left"/>
      <w:pPr>
        <w:tabs>
          <w:tab w:val="num" w:pos="1428"/>
        </w:tabs>
        <w:ind w:left="1428" w:hanging="360"/>
      </w:pPr>
      <w:rPr>
        <w:rFonts w:ascii="Wingdings" w:hAnsi="Wingdings" w:hint="default"/>
      </w:rPr>
    </w:lvl>
    <w:lvl w:ilvl="1" w:tplc="041A0003" w:tentative="1">
      <w:start w:val="1"/>
      <w:numFmt w:val="bullet"/>
      <w:lvlText w:val="o"/>
      <w:lvlJc w:val="left"/>
      <w:pPr>
        <w:tabs>
          <w:tab w:val="num" w:pos="2148"/>
        </w:tabs>
        <w:ind w:left="2148" w:hanging="360"/>
      </w:pPr>
      <w:rPr>
        <w:rFonts w:ascii="Courier New" w:hAnsi="Courier New" w:cs="Courier New" w:hint="default"/>
      </w:rPr>
    </w:lvl>
    <w:lvl w:ilvl="2" w:tplc="041A0005" w:tentative="1">
      <w:start w:val="1"/>
      <w:numFmt w:val="bullet"/>
      <w:lvlText w:val=""/>
      <w:lvlJc w:val="left"/>
      <w:pPr>
        <w:tabs>
          <w:tab w:val="num" w:pos="2868"/>
        </w:tabs>
        <w:ind w:left="2868" w:hanging="360"/>
      </w:pPr>
      <w:rPr>
        <w:rFonts w:ascii="Wingdings" w:hAnsi="Wingdings" w:hint="default"/>
      </w:rPr>
    </w:lvl>
    <w:lvl w:ilvl="3" w:tplc="041A0001" w:tentative="1">
      <w:start w:val="1"/>
      <w:numFmt w:val="bullet"/>
      <w:lvlText w:val=""/>
      <w:lvlJc w:val="left"/>
      <w:pPr>
        <w:tabs>
          <w:tab w:val="num" w:pos="3588"/>
        </w:tabs>
        <w:ind w:left="3588" w:hanging="360"/>
      </w:pPr>
      <w:rPr>
        <w:rFonts w:ascii="Symbol" w:hAnsi="Symbol" w:hint="default"/>
      </w:rPr>
    </w:lvl>
    <w:lvl w:ilvl="4" w:tplc="041A0003" w:tentative="1">
      <w:start w:val="1"/>
      <w:numFmt w:val="bullet"/>
      <w:lvlText w:val="o"/>
      <w:lvlJc w:val="left"/>
      <w:pPr>
        <w:tabs>
          <w:tab w:val="num" w:pos="4308"/>
        </w:tabs>
        <w:ind w:left="4308" w:hanging="360"/>
      </w:pPr>
      <w:rPr>
        <w:rFonts w:ascii="Courier New" w:hAnsi="Courier New" w:cs="Courier New" w:hint="default"/>
      </w:rPr>
    </w:lvl>
    <w:lvl w:ilvl="5" w:tplc="041A0005" w:tentative="1">
      <w:start w:val="1"/>
      <w:numFmt w:val="bullet"/>
      <w:lvlText w:val=""/>
      <w:lvlJc w:val="left"/>
      <w:pPr>
        <w:tabs>
          <w:tab w:val="num" w:pos="5028"/>
        </w:tabs>
        <w:ind w:left="5028" w:hanging="360"/>
      </w:pPr>
      <w:rPr>
        <w:rFonts w:ascii="Wingdings" w:hAnsi="Wingdings" w:hint="default"/>
      </w:rPr>
    </w:lvl>
    <w:lvl w:ilvl="6" w:tplc="041A0001" w:tentative="1">
      <w:start w:val="1"/>
      <w:numFmt w:val="bullet"/>
      <w:lvlText w:val=""/>
      <w:lvlJc w:val="left"/>
      <w:pPr>
        <w:tabs>
          <w:tab w:val="num" w:pos="5748"/>
        </w:tabs>
        <w:ind w:left="5748" w:hanging="360"/>
      </w:pPr>
      <w:rPr>
        <w:rFonts w:ascii="Symbol" w:hAnsi="Symbol" w:hint="default"/>
      </w:rPr>
    </w:lvl>
    <w:lvl w:ilvl="7" w:tplc="041A0003" w:tentative="1">
      <w:start w:val="1"/>
      <w:numFmt w:val="bullet"/>
      <w:lvlText w:val="o"/>
      <w:lvlJc w:val="left"/>
      <w:pPr>
        <w:tabs>
          <w:tab w:val="num" w:pos="6468"/>
        </w:tabs>
        <w:ind w:left="6468" w:hanging="360"/>
      </w:pPr>
      <w:rPr>
        <w:rFonts w:ascii="Courier New" w:hAnsi="Courier New" w:cs="Courier New" w:hint="default"/>
      </w:rPr>
    </w:lvl>
    <w:lvl w:ilvl="8" w:tplc="041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608E0382"/>
    <w:multiLevelType w:val="multilevel"/>
    <w:tmpl w:val="73CA7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37C6682"/>
    <w:multiLevelType w:val="hybridMultilevel"/>
    <w:tmpl w:val="AF8ACAC8"/>
    <w:lvl w:ilvl="0" w:tplc="53F69154">
      <w:start w:val="1"/>
      <w:numFmt w:val="bullet"/>
      <w:lvlText w:val=""/>
      <w:lvlJc w:val="left"/>
      <w:pPr>
        <w:tabs>
          <w:tab w:val="num" w:pos="720"/>
        </w:tabs>
        <w:ind w:left="72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0"/>
  </w:num>
  <w:num w:numId="4">
    <w:abstractNumId w:val="6"/>
  </w:num>
  <w:num w:numId="5">
    <w:abstractNumId w:val="5"/>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9C"/>
    <w:rsid w:val="00DD1D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4BD946E-C547-4B19-8A4E-D86B9785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qFormat/>
    <w:pPr>
      <w:spacing w:before="100" w:beforeAutospacing="1" w:after="100" w:afterAutospacing="1"/>
      <w:outlineLvl w:val="1"/>
    </w:pPr>
    <w:rPr>
      <w:b/>
      <w:bCs/>
      <w:sz w:val="36"/>
      <w:szCs w:val="36"/>
    </w:rPr>
  </w:style>
  <w:style w:type="paragraph" w:styleId="Heading3">
    <w:name w:val="heading 3"/>
    <w:basedOn w:val="Normal"/>
    <w:qFormat/>
    <w:pPr>
      <w:spacing w:before="100" w:beforeAutospacing="1" w:after="100" w:afterAutospacing="1"/>
      <w:outlineLvl w:val="2"/>
    </w:pPr>
    <w:rPr>
      <w:b/>
      <w:bCs/>
      <w:sz w:val="27"/>
      <w:szCs w:val="27"/>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style>
  <w:style w:type="paragraph" w:customStyle="1" w:styleId="Tekstbalonia">
    <w:name w:val="Tekst balončića"/>
    <w:basedOn w:val="Normal"/>
    <w:semiHidden/>
    <w:rPr>
      <w:rFonts w:ascii="Tahoma" w:hAnsi="Tahoma" w:cs="Tahoma"/>
      <w:sz w:val="16"/>
      <w:szCs w:val="16"/>
    </w:r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1352</Words>
  <Characters>8380</Characters>
  <Application>Microsoft Office Word</Application>
  <DocSecurity>0</DocSecurity>
  <Lines>69</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REPUBLIKA  HRVATSKA</vt:lpstr>
      <vt:lpstr>REPUBLIKA  HRVATSKA</vt:lpstr>
    </vt:vector>
  </TitlesOfParts>
  <Company>Microsoft</Company>
  <LinksUpToDate>false</LinksUpToDate>
  <CharactersWithSpaces>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dc:title>
  <dc:subject/>
  <dc:creator>Acer</dc:creator>
  <cp:keywords/>
  <cp:lastModifiedBy>Robert Poljak</cp:lastModifiedBy>
  <cp:revision>2</cp:revision>
  <cp:lastPrinted>2017-09-08T11:56:00Z</cp:lastPrinted>
  <dcterms:created xsi:type="dcterms:W3CDTF">2017-09-20T11:40:00Z</dcterms:created>
  <dcterms:modified xsi:type="dcterms:W3CDTF">2017-09-20T11:40:00Z</dcterms:modified>
</cp:coreProperties>
</file>